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45811-2022 i Norrtälje kommun</w:t>
      </w:r>
    </w:p>
    <w:p>
      <w:r>
        <w:t>Detta klagomål behandlar höga naturvärden i avverkningsanmälan A 45811-2022 i Norrtälje kommun som inkom 2022-10-12 och omfattar 0,8 ha.</w:t>
      </w:r>
    </w:p>
    <w:p>
      <w:pPr>
        <w:pStyle w:val="Caption"/>
      </w:pPr>
      <w:r>
        <w:drawing>
          <wp:inline xmlns:a="http://schemas.openxmlformats.org/drawingml/2006/main" xmlns:pic="http://schemas.openxmlformats.org/drawingml/2006/picture">
            <wp:extent cx="5486400" cy="4709565"/>
            <wp:docPr id="1" name="Picture 1"/>
            <wp:cNvGraphicFramePr>
              <a:graphicFrameLocks noChangeAspect="1"/>
            </wp:cNvGraphicFramePr>
            <a:graphic>
              <a:graphicData uri="http://schemas.openxmlformats.org/drawingml/2006/picture">
                <pic:pic>
                  <pic:nvPicPr>
                    <pic:cNvPr id="0" name="A 45811-2022 karta.png"/>
                    <pic:cNvPicPr/>
                  </pic:nvPicPr>
                  <pic:blipFill>
                    <a:blip r:embed="rId16"/>
                    <a:stretch>
                      <a:fillRect/>
                    </a:stretch>
                  </pic:blipFill>
                  <pic:spPr>
                    <a:xfrm>
                      <a:off x="0" y="0"/>
                      <a:ext cx="5486400" cy="4709565"/>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6653296, E 695471 i SWEREF 99 TM.</w:t>
      </w:r>
    </w:p>
    <w:p>
      <w:r>
        <w:t>I och inom 3 meter från avverkningsanmälan finns fynd av 8 naturvårdsarter, varav 2 är rödlistade, 1 är fridlyst, 6 är typiska (T) och 6 är signalarter (S): ask (EN), skogsalm (EN), hässleklocka (S, T), myskmadra (S, T), skogsknipprot (S, T, §8), strävlosta (S, T), tibast (S, T) och underviol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Hässleklocka </w:t>
      </w:r>
      <w:r>
        <w:t xml:space="preserve">är typisk art för </w:t>
      </w:r>
      <w:r>
        <w:rPr>
          <w:i/>
        </w:rPr>
        <w:t xml:space="preserve">9020 Nordlig ädellövskog </w:t>
      </w:r>
      <w:r>
        <w:t xml:space="preserve">och </w:t>
      </w:r>
      <w:r>
        <w:rPr>
          <w:i/>
        </w:rPr>
        <w:t xml:space="preserve">9180 Ädellövskog i branter </w:t>
      </w:r>
      <w:r>
        <w:t>(SLU Artdatabanken, 2025).</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 xml:space="preserve">Strävlosta </w:t>
      </w:r>
      <w:r>
        <w:t xml:space="preserve">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Strävlosta är typisk art för </w:t>
      </w:r>
      <w:r>
        <w:rPr>
          <w:i/>
        </w:rPr>
        <w:t xml:space="preserve">9050 Näringsrik granskog, 9020 Nordlig ädellövskog, 9130 Näringsrik bokskog </w:t>
      </w:r>
      <w:r>
        <w:t xml:space="preserve">och </w:t>
      </w:r>
      <w:r>
        <w:rPr>
          <w:i/>
        </w:rPr>
        <w:t>9180 Ädellövskog i branter</w:t>
      </w:r>
      <w:r>
        <w:t xml:space="preserve"> (Nitare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