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40 naturvårdsarter, varav 17 är rödlistade, 18 är fridlysta, 18 är typiska (T) och 13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igelkottsröksvamp (S),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