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10876-2025 i Norrtälje kommun</w:t>
      </w:r>
    </w:p>
    <w:p>
      <w:r>
        <w:t>Detta dokument behandlar höga naturvärden i avverkningsanmälan A 10876-2025 i Norrtälje kommun. Denna avverkningsanmälan inkom 2025-03-06 00:00:00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asknätfjäril (EN, §4a), hällebräcka (VU, §7), utter (NT, §4a)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10876-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6654354, E 692485 i SWEREF 99 TM.</w:t>
      </w:r>
    </w:p>
    <w:p>
      <w:pPr>
        <w:pStyle w:val="Heading1"/>
      </w:pPr>
      <w:r>
        <w:t>Fridlysta arter</w:t>
      </w:r>
    </w:p>
    <w:p>
      <w:r>
        <w:t>Följande fridlysta arter har sina livsmiljöer och växtplatser i den avverkningsanmälda skogen: asknätfjäril (EN, §4a), hällebräcka (VU, §7), utter (NT, §4a) och gullviva (§9).</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