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71 naturvårdsarter hittats: skogsalm (CR), ask (EN), apelticka (VU), Blastenia relicta (VU), blåfotad fagerspindling (VU), davidmusseron (VU), duvspindling (VU), granrotspindling (VU), gul lammticka (VU), knärot (VU, §8), kopparspindling (VU), läderdoftande fingersvamp (VU), rosetticka (VU), sotbandad spindling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svart taggsvamp agg.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vitvaxing agg. (S), vårärt (S), zontaggsvamp (S), åderskölding (S) och åttafläckig praktbagge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(EN)</w:t>
      </w:r>
      <w:r>
        <w:t xml:space="preserve"> är en ytterst sällsynt och starkt hotad art som bildar mykorrhiza med tall eller gran i äldre kalkbarrskog på torr och sandig mark, som kalktallhed och luckig kalkgranskog med historik av skogsbete.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Rävticka</w:t>
      </w:r>
      <w:r>
        <w:t xml:space="preserve"> är typisk art för </w:t>
      </w:r>
      <w:r>
        <w:rPr>
          <w:i/>
        </w:rPr>
        <w:t xml:space="preserve">9010 Taiga </w:t>
      </w:r>
      <w:r>
        <w:t>(SLU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