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25731-2025 i Norrtälje kommun</w:t>
      </w:r>
    </w:p>
    <w:p>
      <w:r>
        <w:t>Detta dokument behandlar höga naturvärden i avverkningsanmälan A 25731-2025 i Norrtälje kommun. Denna avverkningsanmälan inkom 2025-05-23 00:00:00 och omfattar 11,9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23 naturvårdsarter hittats: knärot (VU, §8), stor odörspindling (VU), flattoppad klubbsvamp (NT), orange taggsvamp (NT), spillkråka (NT, §4), stjärntagging (NT), talltita (NT, §4), ullticka (NT), anisspindling (S), björksplintborre (S), diskvaxskivling (S), fjällig taggsvamp s.str. (S), kattfotslav (S), rödgul trumpetsvamp (S), strimspindling (S), stubbspretmossa (S), tibast (S), vedticka (S), kungsfågel (§4), tjäder (§4), nattviol (§8), blåsippa (§9) och revlummer (§9). Av dessa är 8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50949"/>
            <wp:docPr id="1" name="Picture 1"/>
            <wp:cNvGraphicFramePr>
              <a:graphicFrameLocks noChangeAspect="1"/>
            </wp:cNvGraphicFramePr>
            <a:graphic>
              <a:graphicData uri="http://schemas.openxmlformats.org/drawingml/2006/picture">
                <pic:pic>
                  <pic:nvPicPr>
                    <pic:cNvPr id="0" name="A 25731-2025 karta.png"/>
                    <pic:cNvPicPr/>
                  </pic:nvPicPr>
                  <pic:blipFill>
                    <a:blip r:embed="rId16"/>
                    <a:stretch>
                      <a:fillRect/>
                    </a:stretch>
                  </pic:blipFill>
                  <pic:spPr>
                    <a:xfrm>
                      <a:off x="0" y="0"/>
                      <a:ext cx="5486400" cy="395094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6617348, E 695968 i SWEREF 99 TM.</w:t>
      </w:r>
    </w:p>
    <w:p>
      <w:r>
        <w:rPr>
          <w:b/>
        </w:rPr>
        <w:t xml:space="preserve">Björksplintborre </w:t>
      </w:r>
      <w:r>
        <w:t>är en skalbagge vars larvutveckling sker i bark på nyligen döda björkar, både stående träd och vindfällen. En prydlig rad med runda ventilationshål i barken ovanför modergången är synnerligen karaktäristiskt. Arten är knuten till lövrika blandskogar med en hög andel gamla träd, och starkt gynnad av naturliga störningar som torka, översvämningar, brand och stormfällningar. Talrika gnagspår kan tyda på biotoper med höga naturvärden, exempelvis för ovanliga hackspettar och andra, mer sällsynta vedinsekter. Larverna är omtyckt hackspettsföda (SLU Artdatabanken, 2025).</w:t>
      </w:r>
    </w:p>
    <w:p>
      <w:r>
        <w:rPr>
          <w:b/>
        </w:rPr>
        <w:t>Fjällig taggsvamp s.str. (NT)</w:t>
      </w:r>
      <w:r>
        <w:t xml:space="preserve"> bildar mykorrhiza med gran i granskog och barrblandskog, främst på frisk näringsrik mark i äldre skog med lång trädkontinuitet. Den totala populationen i landet har minskat och bedöms fortsätta minska till följd av avverkning av äldre barrskogar. Minskningstakten för den svenska populationen bedöms vara nära gränsvärdet för sårbar (VU) (SLU Artdatabanken, 2026).</w:t>
      </w:r>
    </w:p>
    <w:p>
      <w:r>
        <w:rPr>
          <w:b/>
        </w:rPr>
        <w:t xml:space="preserve">Flattoppad klubbsvamp (NT) </w:t>
      </w:r>
      <w:r>
        <w:t>bildar mykorrhiza med gran och växer i äldre barrskog på näringsrik, kalkpåverkad mark. Växtmiljön utgörs vanligen av örtrika granskogar med höga naturvärden, gärna påverkade av ytligt och rörligt markvatten. Svampen kräver välutvecklade gamla mossmattor med konstant fuktigt mikroklimat och hotas främst av slutavverkning av äldre ängsgranskogar på näringsrik mark. Artens lokaler bör undantas från skogsbruk (SLU Artdatabanken, 2024).</w:t>
      </w:r>
    </w:p>
    <w:p>
      <w:r>
        <w:rPr>
          <w:b/>
        </w:rPr>
        <w:t xml:space="preserve">Kattfotslav (NT) </w:t>
      </w:r>
      <w:r>
        <w:t xml:space="preserve">är en mycket god signalart i hela sitt svenska utbredningsområde och skogsbestånd med kattfotslav är alltid värdefulla ur naturvårdssynpunkt. Arten indikerar dels ett mikroklimat med konstant hög luftfuktighet, dels kontinuitet av äldre träd och god trädslutenhet. Trots att den är vanligare i sydvästra Sverige växer den enbart i skogsbestånd med höga naturvärden. Den är känslig för skogliga ingrepp som kan förändra lokal- och mikroklimat. Kattfotslav är typisk art för </w:t>
      </w:r>
      <w:r>
        <w:rPr>
          <w:i/>
        </w:rPr>
        <w:t xml:space="preserve">9010 Taiga, 9160 Näringsrik ekskog </w:t>
      </w:r>
      <w:r>
        <w:t>och</w:t>
      </w:r>
      <w:r>
        <w:rPr>
          <w:i/>
        </w:rPr>
        <w:t xml:space="preserve"> 9190 Näringsfattig ekskog</w:t>
      </w:r>
      <w:r>
        <w:t xml:space="preserve"> (Nitare &amp; Skogsstyrelsen, 2019; SLU Artdatabanken, 2026).</w:t>
      </w:r>
    </w:p>
    <w:p>
      <w:r>
        <w:rPr>
          <w:b/>
        </w:rPr>
        <w:t xml:space="preserve">Orange taggsvamp (NT) </w:t>
      </w:r>
      <w:r>
        <w:t xml:space="preserve">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Orange taggsvamp är typisk art för </w:t>
      </w:r>
      <w:r>
        <w:rPr>
          <w:i/>
        </w:rPr>
        <w:t>9010 Taiga</w:t>
      </w:r>
      <w:r>
        <w:t xml:space="preserve"> (SLU Artdatabanken, 2024).</w:t>
      </w:r>
    </w:p>
    <w:p>
      <w:r>
        <w:rPr>
          <w:b/>
        </w:rPr>
        <w:t xml:space="preserve">Rödgul trumpetsvamp </w:t>
      </w:r>
      <w:r>
        <w:t>signalerar kalkrika barrsumpskogar eller avgränsade små mineralrika ytor i barrskogslandskapet, vilka normalt har höga naturvärden. I urbergsbygder är den en bra signalart på känsliga skogsbiotoper (Nitare &amp; Skogsstyrelsen, 2019).</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Stjärntagging är typisk art för </w:t>
      </w:r>
      <w:r>
        <w:rPr>
          <w:i/>
        </w:rPr>
        <w:t xml:space="preserve">9010 Taiga, 9050 Näringsrik granskog </w:t>
      </w:r>
      <w:r>
        <w:t xml:space="preserve">och </w:t>
      </w:r>
      <w:r>
        <w:rPr>
          <w:i/>
        </w:rPr>
        <w:t>9030 Landhöjningsskog</w:t>
      </w:r>
      <w:r>
        <w:t xml:space="preserve"> (SLU Artdatabanken, 2024; Nitare &amp; Skogsstyrelsen, 2019).</w:t>
      </w:r>
    </w:p>
    <w:p>
      <w:r>
        <w:rPr>
          <w:b/>
        </w:rPr>
        <w:t xml:space="preserve">Stor odörspindling (VU) </w:t>
      </w:r>
      <w:r>
        <w:t>bildar mykorrhiza med tall och gran i kalktallskog och ängsgranskog, främst i äldre kalkbarrskog. En fortlöpande minskning bedöms pågå p.g.a. slutavverkningar av äldre kontinuitetsbarrskog. Har uppenbart svårt att återetableras efter avverkning. Kända växtplatser bör inte utsättas för omfattande huggningar eller andra kraftiga störningar som förändrar miljön (SLU Artdatabanken, 2025).</w:t>
      </w:r>
    </w:p>
    <w:p>
      <w:r>
        <w:rPr>
          <w:b/>
        </w:rPr>
        <w:t>Stubbspretmossa</w:t>
      </w:r>
      <w:r>
        <w:t xml:space="preserve"> växer på ved i rika löv- och barrskogar med relativt hög luftfuktighet och indikerar fuktiga skogsmiljöer med gott om murken ved och ofta höga naturvärden. Stubbspretmossa är typisk art för </w:t>
      </w:r>
      <w:r>
        <w:rPr>
          <w:i/>
        </w:rPr>
        <w:t>9020 Nordlig ädellövskog</w:t>
      </w:r>
      <w:r>
        <w:t xml:space="preserve"> (SLU Artdatabanken, 2024).</w:t>
      </w:r>
    </w:p>
    <w:p>
      <w:r>
        <w:rPr>
          <w:b/>
        </w:rPr>
        <w:t>Tibast</w:t>
      </w:r>
      <w:r>
        <w:t xml:space="preserve"> är en kalkgynnad buske som växer på mullrik, frisk eller svagt fuktig mark, exempelvis i gamla kalkgranskogar, lövträdslundar, varma källpåverkade sluttningar och exklusiva biotoper kopplade till vattendrag. Förekomster i gammal skog visar på höga naturvärden och bör alltid noteras i samband med naturvärdesinventeringar. Tibast är typisk art för </w:t>
      </w:r>
      <w:r>
        <w:rPr>
          <w:i/>
        </w:rPr>
        <w:t>9050 Näringsrik granskog</w:t>
      </w:r>
      <w:r>
        <w:t xml:space="preserve"> och värdväxt för de två fjärilsarterna större tibastmal och brun tibastmal (CR)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r>
        <w:rPr>
          <w:b/>
        </w:rPr>
        <w:t xml:space="preserve">Vedticka </w:t>
      </w:r>
      <w:r>
        <w:t xml:space="preserve">är en bra signalart söder om den naturliga norrlandsgränsen. Den är huvudsakligen knuten till äldre barrskogar där det föreligger långvarig kontinuitet av död barrved. Vedticka är typisk art för </w:t>
      </w:r>
      <w:r>
        <w:rPr>
          <w:i/>
        </w:rPr>
        <w:t xml:space="preserve">9010 Taiga </w:t>
      </w:r>
      <w:r>
        <w:t>(Nitare &amp; Skogsstyrelsen, 2019; SLU Artdatabanken, 2025).</w:t>
      </w:r>
    </w:p>
    <w:p>
      <w:pPr>
        <w:pStyle w:val="Heading1"/>
      </w:pPr>
      <w:r>
        <w:t>Fridlysta arter</w:t>
      </w:r>
    </w:p>
    <w:p>
      <w:r>
        <w:t>Följande fridlysta arter har sina livsmiljöer och växtplatser i den avverkningsanmälda skogen: knärot (VU, §8), spillkråka (NT, §4), talltita (NT, §4), kungsfågel (§4), tjäder (§4), nattviol (§8), blåsippa (§9)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Blåsippa (§9)</w:t>
      </w:r>
      <w:r>
        <w:t xml:space="preserve"> är typisk art för </w:t>
      </w:r>
      <w:r>
        <w:rPr>
          <w:i/>
        </w:rPr>
        <w:t>9050 Näringsrik granskog, 9020 Nordlig ädellövskog</w:t>
      </w:r>
      <w:r>
        <w:t xml:space="preserve"> och </w:t>
      </w:r>
      <w:r>
        <w:rPr>
          <w:i/>
        </w:rPr>
        <w:t>8240 Karsthällmarker</w:t>
      </w:r>
      <w:r>
        <w:t xml:space="preserve"> (SLU Artdatabanken, 2025).</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2.36 ha med buffertzonerna och får av detta skäl inte avverkas.</w:t>
      </w:r>
    </w:p>
    <w:p>
      <w:pPr>
        <w:pStyle w:val="Caption"/>
      </w:pPr>
      <w:r>
        <w:drawing>
          <wp:inline xmlns:a="http://schemas.openxmlformats.org/drawingml/2006/main" xmlns:pic="http://schemas.openxmlformats.org/drawingml/2006/picture">
            <wp:extent cx="5486400" cy="4770977"/>
            <wp:docPr id="2" name="Picture 2"/>
            <wp:cNvGraphicFramePr>
              <a:graphicFrameLocks noChangeAspect="1"/>
            </wp:cNvGraphicFramePr>
            <a:graphic>
              <a:graphicData uri="http://schemas.openxmlformats.org/drawingml/2006/picture">
                <pic:pic>
                  <pic:nvPicPr>
                    <pic:cNvPr id="0" name="A 25731-2025 karta knärot.png"/>
                    <pic:cNvPicPr/>
                  </pic:nvPicPr>
                  <pic:blipFill>
                    <a:blip r:embed="rId17"/>
                    <a:stretch>
                      <a:fillRect/>
                    </a:stretch>
                  </pic:blipFill>
                  <pic:spPr>
                    <a:xfrm>
                      <a:off x="0" y="0"/>
                      <a:ext cx="5486400" cy="4770977"/>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6617348, E 695968 i SWEREF 99 TM.</w:t>
      </w:r>
    </w:p>
    <w:p>
      <w:pPr>
        <w:pStyle w:val="Caption"/>
      </w:pP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23 naturvårdsarter varav 8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2026-05-26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