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53065-2024 i Norrtälje kommun</w:t>
      </w:r>
    </w:p>
    <w:p>
      <w:r>
        <w:t>Detta dokument behandlar höga naturvärden i avverkningsanmälan A 53065-2024 i Norrtälje kommun. Denna avverkningsanmälan inkom 2024-11-15 11:20:10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aspsplintbock (VU), grön aspvedbock (NT) och gulröd blankbock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53065-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6658889, E 693167 i SWEREF 99 TM.</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r>
        <w:rPr>
          <w:b/>
        </w:rPr>
        <w:t>Gulröd blankbock</w:t>
      </w:r>
      <w:r>
        <w:rPr>
          <w:b/>
          <w:i/>
        </w:rPr>
        <w:t xml:space="preserve"> </w:t>
      </w:r>
      <w:r>
        <w:t>är en långhorning vars larvutveckling sker i och under solexponerad, torr bark på döda grenar och stamdelar (ofta 15–30 cm diameter) av lövträd. I Sverige såvitt känt enbart på asp. Arten påverkas negativt av brist på död ved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