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48370-2025 i Norrtälje kommun</w:t>
      </w:r>
    </w:p>
    <w:p>
      <w:r>
        <w:t>Detta klagomål behandlar höga naturvärden i avverkningsanmälan A 48370-2025 i Norrtälje kommun som inkom 2025-10-03 och omfattar 4,5 ha.</w:t>
      </w:r>
    </w:p>
    <w:p>
      <w:pPr>
        <w:pStyle w:val="Caption"/>
      </w:pPr>
      <w:r>
        <w:drawing>
          <wp:inline xmlns:a="http://schemas.openxmlformats.org/drawingml/2006/main" xmlns:pic="http://schemas.openxmlformats.org/drawingml/2006/picture">
            <wp:extent cx="5486400" cy="4885381"/>
            <wp:docPr id="1" name="Picture 1"/>
            <wp:cNvGraphicFramePr>
              <a:graphicFrameLocks noChangeAspect="1"/>
            </wp:cNvGraphicFramePr>
            <a:graphic>
              <a:graphicData uri="http://schemas.openxmlformats.org/drawingml/2006/picture">
                <pic:pic>
                  <pic:nvPicPr>
                    <pic:cNvPr id="0" name="A 48370-2025 karta.png"/>
                    <pic:cNvPicPr/>
                  </pic:nvPicPr>
                  <pic:blipFill>
                    <a:blip r:embed="rId16"/>
                    <a:stretch>
                      <a:fillRect/>
                    </a:stretch>
                  </pic:blipFill>
                  <pic:spPr>
                    <a:xfrm>
                      <a:off x="0" y="0"/>
                      <a:ext cx="5486400" cy="488538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6623784, E 691734 i SWEREF 99 TM.</w:t>
      </w:r>
    </w:p>
    <w:p>
      <w:r>
        <w:t>Inom 25 meter från avverkningsanmälan finns fynd av 6 naturvårdsarter, varav 2 är rödlistade, 4 är fridlysta och 1 är signalart (S): gulyxne (VU, §7), igelkott (VU), källmossa (S), dubbelnycklar (§8), kärrknipprot (§8) och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