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duvspindling (VU), fjällfotad fingersvamp (VU), fläckfingersvamp (VU), grangråticka (VU), gul lammticka (VU), gyllenfingersvamp (VU), koppartaggsvamp (VU), lakritsmusseron (VU), läderdoftande fingersvamp (VU), roslagsfingersvamp (VU), stor odörspindling (VU), violettfläckig spindling (VU), violgubbe (VU), bittermusseron (NT), blek fingersvamp (NT), flattoppad klubbsvamp (NT), granticka (NT), gul taggsvamp (NT), gultoppig fingersvamp (NT), Hapalopilus aurantiacus (NT), kungsspindling (NT), odörspindling (NT), orange taggsvamp (NT), persiljespindling (NT), rosenticka (NT), slåtterfibbla (NT), ullticka (NT), äggspindling (NT), anisspindling (S), brandticka (S), fjällig taggsvamp s.str. (S), guldkremla (S), hagfingersvamp (S), kryddspindling (S), nästrot (S, §8), olivspindling (S), Ramaria flavoides (S), Ramaria neoformosa (S), rödgul trumpetsvamp (S), skarp dropptaggsvamp (S), spetsvaxskivling (S), svavelriska (S), tjockfotad fingersvamp (S), trådticka (S) och zontaggsvamp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