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2851-2023 i Norrtälje kommun</w:t>
      </w:r>
    </w:p>
    <w:p>
      <w:r>
        <w:t>Detta dokument behandlar höga naturvärden i avverkningsanmälan A 2851-2023 i Norrtälje kommun. Denna avverkningsanmälan inkom 2023-01-19 och omfattar 5,8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3 naturvårdsarter hittats: gulsparv (NT, §4), vedflikmossa (NT) och terpentinmossa (S).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776767"/>
            <wp:docPr id="1" name="Picture 1"/>
            <wp:cNvGraphicFramePr>
              <a:graphicFrameLocks noChangeAspect="1"/>
            </wp:cNvGraphicFramePr>
            <a:graphic>
              <a:graphicData uri="http://schemas.openxmlformats.org/drawingml/2006/picture">
                <pic:pic>
                  <pic:nvPicPr>
                    <pic:cNvPr id="0" name="A 2851-2023 karta.png"/>
                    <pic:cNvPicPr/>
                  </pic:nvPicPr>
                  <pic:blipFill>
                    <a:blip r:embed="rId16"/>
                    <a:stretch>
                      <a:fillRect/>
                    </a:stretch>
                  </pic:blipFill>
                  <pic:spPr>
                    <a:xfrm>
                      <a:off x="0" y="0"/>
                      <a:ext cx="5486400" cy="377676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6645290, E 727447 i SWEREF 99 TM.</w:t>
      </w:r>
    </w:p>
    <w:p>
      <w:r>
        <w:rPr>
          <w:b/>
        </w:rPr>
        <w:t>Terpentinmossa</w:t>
      </w:r>
      <w:r>
        <w:t xml:space="preserve"> signalerar alltid biotoper med höga naturvärden och dess lokaler bör alltid uppmärksammas som nyckelbiotoper. Den indikerar områden med konstant beskuggning och god tillgång på murken, fuktig ved och tål inte avverkning och markberedning. Sverige har ett internationellt ansvar för arten, då en relativt stor andel av den europeiska populationen troligen finns i vårt land. Terpentinmossa är rödlistad som nära hotad (NT) på den europeiska rödlistan (Nitare &amp; Skogsstyrelsen, 2019; IUCN, 2019).</w:t>
      </w:r>
    </w:p>
    <w:p>
      <w:pPr>
        <w:pStyle w:val="Heading1"/>
      </w:pPr>
      <w:r>
        <w:t>Fridlysta arter</w:t>
      </w:r>
    </w:p>
    <w:p>
      <w:r>
        <w:t>Följande fridlysta arter har sina livsmiljöer och växtplatser i den avverkningsanmälda skogen: gulsparv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