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17406-2025 i Norrtälje kommun</w:t>
      </w:r>
    </w:p>
    <w:p>
      <w:r>
        <w:t>Denna tillsynsbegäran behandlar höga naturvärden i avverkningsanmälan A 17406-2025 i Norrtälje kommun som inkom 2025-04-10 och omfattar 10,8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17406-2025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6660272, E 699772 i SWEREF 99 TM.</w:t>
      </w:r>
    </w:p>
    <w:p>
      <w:r>
        <w:t>I och inom 25 meter från avverkningsanmälan finns fynd av 38 naturvårdsarter, varav 21 är rödlistade, 6 är fridlysta, 14 är typiska (T) och 13 är signalarter (S): gyllenfingersvamp (EN), koppartaggsvamp (EN), raggtaggsvamp (EN), skogsalm (EN), duvspindling (VU), grangråticka (VU, T), granrotspindling (VU), gul lammticka (VU), gul taggsvamp (VU, T), knärot (VU, T, §8), läderdoftande fingersvamp (VU), fjällig taggsvamp s.str. (NT), flattoppad klubbsvamp (NT), fyrflikig jordstjärna (NT, T), grantaggsvamp (NT), jättespindling (NT), orange taggsvamp (NT, T), persiljespindling (NT), skarp dropptaggsvamp (NT), såpfingersvamp (NT), ullticka (NT, T), anisspindling (S), bronshjon (S, T), granbarkgnagare (S, T), grön sköldmossa (S, T, §8), guldkremla (S), kamjordstjärna (S), olivspindling (S), rödgul trumpetsvamp (S), skogsknipprot (S, T, §8), strimspindling (S), stubbspretmossa (S, T), vågbandad barkbock (S), zontaggsvamp (S), blåsippa (T, §9),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89114"/>
            <wp:docPr id="2" name="Picture 2"/>
            <wp:cNvGraphicFramePr>
              <a:graphicFrameLocks noChangeAspect="1"/>
            </wp:cNvGraphicFramePr>
            <a:graphic>
              <a:graphicData uri="http://schemas.openxmlformats.org/drawingml/2006/picture">
                <pic:pic>
                  <pic:nvPicPr>
                    <pic:cNvPr id="0" name="A 17406-2025 karta knärot.png"/>
                    <pic:cNvPicPr/>
                  </pic:nvPicPr>
                  <pic:blipFill>
                    <a:blip r:embed="rId17"/>
                    <a:stretch>
                      <a:fillRect/>
                    </a:stretch>
                  </pic:blipFill>
                  <pic:spPr>
                    <a:xfrm>
                      <a:off x="0" y="0"/>
                      <a:ext cx="5486400" cy="65891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6660272, E 699772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gul taggsvamp (VU, T), knärot (VU, T, §8), fyrflikig jordstjärna (NT, T), orange taggsvamp (NT, T), ullticka (NT, T), bronshjon (S, T), granbarkgnagare (S, T), grön sköldmossa (S, T, §8), skogsknipprot (S, T, §8), stubbspretmossa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