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43 naturvårdsarter, varav 23 är rödlistade, 8 är fridlysta, 14 är typiska (T) och 16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odörspindling (NT), orange taggsvamp (NT, T), persiljespindling (NT), skarp dropptaggsvamp (NT), såpfingersvamp (NT), talltita (NT, §4), ullticka (NT, T), anisspindling (S), bronshjon (S, T), diskvaxskivling (S), granbarkgnagare (S, T), grön sköldmossa (S, T, §8), guldkremla (S), kamjordstjärna (S), nästrot (S, §8), olivspindling (S), rödgul trumpetsvamp (S), skogsknipprot (S, T, §8), strimspindling (S), stubbspretmossa (S, T), svavelriska (S), vågbandad barkbock (S), zontaggsvamp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