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25731-2025 i Norrtälje kommun</w:t>
      </w:r>
    </w:p>
    <w:p>
      <w:r>
        <w:t>Detta klagomål behandlar höga naturvärden i avverkningsanmälan A 25731-2025 i Norrtälje kommun som inkom 2025-05-23 och omfattar 11,9 ha.</w:t>
      </w:r>
    </w:p>
    <w:p>
      <w:pPr>
        <w:pStyle w:val="Caption"/>
      </w:pPr>
      <w:r>
        <w:drawing>
          <wp:inline xmlns:a="http://schemas.openxmlformats.org/drawingml/2006/main" xmlns:pic="http://schemas.openxmlformats.org/drawingml/2006/picture">
            <wp:extent cx="5408065" cy="5724000"/>
            <wp:docPr id="1" name="Picture 1"/>
            <wp:cNvGraphicFramePr>
              <a:graphicFrameLocks noChangeAspect="1"/>
            </wp:cNvGraphicFramePr>
            <a:graphic>
              <a:graphicData uri="http://schemas.openxmlformats.org/drawingml/2006/picture">
                <pic:pic>
                  <pic:nvPicPr>
                    <pic:cNvPr id="0" name="A 25731-2025 karta.png"/>
                    <pic:cNvPicPr/>
                  </pic:nvPicPr>
                  <pic:blipFill>
                    <a:blip r:embed="rId16"/>
                    <a:stretch>
                      <a:fillRect/>
                    </a:stretch>
                  </pic:blipFill>
                  <pic:spPr>
                    <a:xfrm>
                      <a:off x="0" y="0"/>
                      <a:ext cx="5408065"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6617348, E 695968 i SWEREF 99 TM.</w:t>
      </w:r>
    </w:p>
    <w:p>
      <w:r>
        <w:t>I och inom 21 meter från avverkningsanmälan finns fynd av 31 naturvårdsarter, varav 13 är rödlistade, 8 är fridlysta, 18 är typiska (T) och 10 är signalarter (S): garnlav (VU, T), knärot (VU, T, §8), stor odörspindling (VU), dropptaggsvamp (NT, T), fjällig taggsvamp s.str. (NT), flattoppad klubbsvamp (NT), kattfotslav (NT, T), motaggsvamp (NT, T), orange taggsvamp (NT, T), stjärntagging (NT, T), tallticka (NT, T), talltita (NT, §4), ullticka (NT, T), anisspindling (S), björksplintborre (S), bollvitmossa (S, T), brandticka (S), diskvaxskivling (S), rödgul trumpetsvamp (S), strimspindling (S), stubbspretmossa (S, T), tibast (S, T), vedticka (S, T), blåsippa (T, §9), brudborste (T), kransmossa (T), spillkråka (T, §4), tjäder (T, §4), kungsfågel (§4),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2.36 ha med buffertzonerna och får av detta skäl inte avverkas.</w:t>
      </w:r>
    </w:p>
    <w:p>
      <w:pPr>
        <w:pStyle w:val="Caption"/>
      </w:pPr>
      <w:r>
        <w:drawing>
          <wp:inline xmlns:a="http://schemas.openxmlformats.org/drawingml/2006/main" xmlns:pic="http://schemas.openxmlformats.org/drawingml/2006/picture">
            <wp:extent cx="5486400" cy="5186628"/>
            <wp:docPr id="2" name="Picture 2"/>
            <wp:cNvGraphicFramePr>
              <a:graphicFrameLocks noChangeAspect="1"/>
            </wp:cNvGraphicFramePr>
            <a:graphic>
              <a:graphicData uri="http://schemas.openxmlformats.org/drawingml/2006/picture">
                <pic:pic>
                  <pic:nvPicPr>
                    <pic:cNvPr id="0" name="A 25731-2025 karta knärot.png"/>
                    <pic:cNvPicPr/>
                  </pic:nvPicPr>
                  <pic:blipFill>
                    <a:blip r:embed="rId17"/>
                    <a:stretch>
                      <a:fillRect/>
                    </a:stretch>
                  </pic:blipFill>
                  <pic:spPr>
                    <a:xfrm>
                      <a:off x="0" y="0"/>
                      <a:ext cx="5486400" cy="51866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6617348, E 695968 i SWEREF 99 TM.</w:t>
      </w:r>
    </w:p>
    <w:p>
      <w:r>
        <w:rPr>
          <w:b/>
        </w:rPr>
        <w:t xml:space="preserve">Stor odörspindling (VU) </w:t>
      </w:r>
      <w:r>
        <w:t>bildar mykorrhiza med tall och gran i kalktallskog och ängsgranskog, främst i äldre kalkbarrskog. En fortlöpande minskning bedöms pågå p.g.a. slutavverkningar av äldre kontinuitetsbarrskog. Har uppenbart svårt att återetableras efter avverkning. Kända växtplatser bör inte utsättas för omfattande huggningar eller andra kraftiga störningar som förändrar miljön (SLU Artdatabanken, 2025).</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31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