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5521-2022 i Norrtälje kommun</w:t>
      </w:r>
    </w:p>
    <w:p>
      <w:r>
        <w:t>Detta klagomål behandlar höga naturvärden i samrådsanmälan S 5521-2022 i Norrtälje kommun som inkom 2022-09-30 och omfattar 12,2 ha.</w:t>
      </w:r>
    </w:p>
    <w:p>
      <w:pPr>
        <w:pStyle w:val="Caption"/>
      </w:pPr>
      <w:r>
        <w:drawing>
          <wp:inline xmlns:a="http://schemas.openxmlformats.org/drawingml/2006/main" xmlns:pic="http://schemas.openxmlformats.org/drawingml/2006/picture">
            <wp:extent cx="4397265" cy="5724000"/>
            <wp:docPr id="1" name="Picture 1"/>
            <wp:cNvGraphicFramePr>
              <a:graphicFrameLocks noChangeAspect="1"/>
            </wp:cNvGraphicFramePr>
            <a:graphic>
              <a:graphicData uri="http://schemas.openxmlformats.org/drawingml/2006/picture">
                <pic:pic>
                  <pic:nvPicPr>
                    <pic:cNvPr id="0" name="S 5521-2022 karta.png"/>
                    <pic:cNvPicPr/>
                  </pic:nvPicPr>
                  <pic:blipFill>
                    <a:blip r:embed="rId16"/>
                    <a:stretch>
                      <a:fillRect/>
                    </a:stretch>
                  </pic:blipFill>
                  <pic:spPr>
                    <a:xfrm>
                      <a:off x="0" y="0"/>
                      <a:ext cx="4397265" cy="572400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6627293, E 708266 i SWEREF 99 TM.</w:t>
      </w:r>
    </w:p>
    <w:p>
      <w:r>
        <w:t>I och inom 14 meter från samrådsanmälan finns fynd av 60 naturvårdsarter, varav 28 är rödlistade, 34 är fridlysta, 16 är typiska (T) och 11 är signalarter (S): ask (EN), gråtrut (VU, §4), grönfink (VU, §4), gulvit blekspik (VU, T), skogskorn (VU, T), stare (VU, §4), sydpipistrell (VU, §4a), tornseglare (VU, §4), björktrast (NT, §4), blekticka (NT, T), ekticka (NT, T), gammelekslav (NT, T), grönsångare (NT, §4), gul dropplav (NT), gulsparv (NT, §4), göktyta (NT, §4), kardinalrödrock (NT), mindre hackspett (NT, T, §4), nordfladdermus (NT, §4a), oxtungssvamp (NT), rutskinn (NT, T), rödbrun blekspik (NT, T), rödlånke (NT), rörsångare (NT, §4), större apelsplintborre (NT), svart askbastborre (NT), sydfladdermus (NT, §4a), talltita (NT, §4), avlång flatbagge (S), fällmossa (S, T), gulnål (S, T), gulpudrad spiklav (S, T), kornig nållav (S, T), maskfingersvamp (S), myskbock (S), noshornsoxe (S), papegojvaxing (S), scharlakansvårskål agg. (S), sotlav (S, T), blåsippa (T, §9), smånunneört (T), tallbit (T, §4), citronfläckad kärrtrollslända (§4a), dvärgpipistrell (§4a), gröngöling (§4), grönsiska (§4), kungsfågel (§4), näktergal (§4), större brunfladdermus (§4a), större vattensalamander (§4a), svartvit flugsnappare (§4), sångsvan (§4), trollpipistrell (§4a), vattenfladdermus (§4a), ärtsångare (§4), åkergroda (§4a), mindre vattensalamander (§6), vanlig padda (§6), vanlig snok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Sydpipistrell (VU, §4a)</w:t>
      </w:r>
      <w:r>
        <w:t>,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Kardinalrödrock (NT) </w:t>
      </w:r>
      <w:r>
        <w:t>är en knäppare vars larvutveckling sker i tämligen fast och torr, brunrötad ved av lövträd, främst i grova, ihåliga, stående ekar med svavelticka, även i bok, ask och lind. Ekbestånd som innehåller grova, rötskadade träd bör lämnas. Arten är värmekrävande, varför röjning runt gamla ekar på vissa lokaler för att öka solinstrålningen är gynnsam. En långsiktig planering för att rekrytera ekar ur yngre generationer till att bli framtida hålekar på en del av lokalerna är också av stor vikt. Kardinalrödrock är globalt rödlistad som nära hotad (NT) vilket innebär att Sverige har ett internationellt ansvar för arten (SLU Artdatabanken, 2026; IUCN, 2023).</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Avlång flatbagge </w:t>
      </w:r>
      <w:r>
        <w:t>är en skalbagge vars larvutveckling sker i vitrötad, mycelhaltig ved av flera trädslag, främst ek, bok, alm, lind, asp och ask, men även tall. Gärna under tjock skorpbark som sitter kvar länge, såsom på gamla ek- och tallstammar. Den förekommer främst i äldre skogsområden med naturskogskaraktär eller kulturmarker med hög andel gamla träd, t.ex. hagmarker med grova ekar. Arten påverkas negativt av brist på kontinuitetsskog och en minskning av populationen pågår eller förväntas ske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Smånunneört</w:t>
      </w:r>
      <w:r>
        <w:t xml:space="preserve"> är typisk art för </w:t>
      </w:r>
      <w:r>
        <w:rPr>
          <w:i/>
        </w:rPr>
        <w:t>9180 Ädellövskog i branter</w:t>
      </w:r>
      <w:r>
        <w:t>. Smånunneört är värdväxt för den fridlysta och starkt hotade åtgärdsprogramsarten mnemosynefjäril (EN, §4a)</w:t>
      </w:r>
      <w:r>
        <w:rPr>
          <w:i/>
        </w:rPr>
        <w:t xml:space="preserve"> </w:t>
      </w:r>
      <w:r>
        <w:t>(SLU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60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Sydpipistrell – ekologi samt krav på livsmiljön</w:t>
      </w:r>
    </w:p>
    <w:p>
      <w:r>
        <w:t>Sydpipistrell (VU, §4a),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sydpipistrell</w:t>
      </w:r>
    </w:p>
    <w:p>
      <w:r>
        <w:t>SLU Artdatabanken, 2024.</w:t>
      </w:r>
      <w:r>
        <w:rPr>
          <w:i/>
        </w:rPr>
        <w:t xml:space="preserve"> Artfakta: sydpipistrell (Pipistrellus pipistrellus)</w:t>
      </w:r>
      <w:r>
        <w:t>. https://artfakta.se/taxa/205994</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