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34045-2023 i Norrtälje kommun</w:t>
      </w:r>
    </w:p>
    <w:p>
      <w:r>
        <w:t>Detta dokument behandlar höga naturvärden i avverkningsanmälan A 34045-2023 i Norrtälje kommun. Denna avverkningsanmälan inkom 2023-07-28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56 naturvårdsarter hittats: ask (EN), duvspindling (VU), dysterspindling (VU), fjällfotad fingersvamp (VU), fläckfingersvamp (VU), grangråticka (VU), granrotspindling (VU), gul lammticka (VU), gyllenfingersvamp (VU), koppartaggsvamp (VU), lakritsmusseron (VU), läderdoftande fingersvamp (VU), roslagsfingersvamp (VU), violettfläckig spindling (VU), violgubbe (VU), apelsinticka (NT), bittermusseron (NT), blek fingersvamp (NT), dofttaggsvamp (NT), flattoppad klubbsvamp (NT), grantaggsvamp (NT), granticka (NT), gul taggsvamp (NT), gultoppig fingersvamp (NT), kungsspindling (NT), odörspindling (NT), orange taggsvamp (NT), persiljespindling (NT), rosenticka (NT), slåtterfibbla (NT), spillkråka (NT, §4), såpfingersvamp (NT), ullticka (NT), äggspindling (NT), anisspindling (S), brandticka (S), bronshjon (S), fjällig taggsvamp s.str. (S), guldkremla (S), hagfingersvamp (S), kryddspindling (S), nästrot (S, §8), olivspindling (S), Ramaria flavoides (S), Ramaria neoformosa (S), rödgul trumpetsvamp (S), skarp dropptaggsvamp (S), skogsknipprot (S, §8), spetsvaxing (S), svavelriska (S), tjockfotad fingersvamp (S), trådticka (S), vedticka (S), vågbandad barkbock (S), zontaggsvamp (S) och blåsippa (§9). Av dessa är 34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6634798, E 705903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i/>
        </w:rPr>
        <w:t xml:space="preserve">Ramaria flavoides </w:t>
      </w:r>
      <w:r>
        <w:t>är en ofullständigt utredd art (eller artgrupp) som huvudsakligen är knuten till frisk eller något fuktig kalkgranskog av lågörtstyp där den bildar ektomykorrhiza med gran. Den är dock även påträffad i bokskog på kalkrik mark och bildar då mykorrhiza med bok. Slutavverkning, gödsling eller exploatering måste undvikas och lokalerna skyddas. Arten är placerad högst upp i Skogsstyrelsens värdepyramid för bedömning av skog med höga naturvärden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Roslagsfingersvamp (VU) </w:t>
      </w:r>
      <w:r>
        <w:t>är en mycket sällsynt ”toppart” som bildar mykorrhiza med gran i kalkrik barrskog. All form av skogsavverkning i eller i närheten av växtplatsen missgynnar arten. Dess koppling till produktiva äldre granskogar med hög bonitet gör den särskilt utsatt för slutavverkning. Samtliga lokaler bör undantas från rationellt skogsbruk och få ett områdesskydd. Arten är placerad högst upp i Skogsstyrelsens värdepyramid för bedömning av skog med höga naturvärden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