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34 naturvårdsarter, varav 18 är rödlistade, 9 är fridlysta, 20 är typiska (T) och 8 är signalarter (S): koboltspindling (EN), skogsalm (EN), aspgelélav (VU, T), grangråticka (VU, T), knärot (VU, T, §8), kopparspindling (VU), läderdoftande fingersvamp (VU), barrfagerspindling (NT), fjällig taggsvamp s.str. (NT), järnsparv (NT, §4), motaggsvamp (NT, T), persiljespindling (NT), skarp dropptaggsvamp (NT), sårläka (NT, T), tallticka (NT, T), ullticka (NT, T), vit vedfingersvamp (NT), vårärt (NT, T), barkticka (S, T), grönpyrola (S, T), guldlockmossa (S, T), mörk husmossa (S, T), platt fjädermossa (S, T), skogsknipprot (S, T, §8), stor aspticka (S, T), svavelriska (S),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motaggsvamp (NT, T), sårläka (NT, T), tallticka (NT, T), ullticka (NT, T), vårärt (NT, T), barkticka (S, T), grönpyrola (S, T), guldlockmossa (S, T), mörk husmossa (S, T), platt fjädermossa (S, T), skogsknipprot (S, T, §8),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