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3444-2023 i Norrtälje kommun</w:t>
      </w:r>
    </w:p>
    <w:p>
      <w:r>
        <w:t>Denna tillsynsbegäran behandlar höga naturvärden i avverkningsanmälan A 3444-2023 i Norrtälje kommun som inkom 2023-01-23 och omfattar 5,1 ha.</w:t>
      </w:r>
    </w:p>
    <w:p>
      <w:pPr>
        <w:pStyle w:val="Caption"/>
      </w:pPr>
      <w:r>
        <w:drawing>
          <wp:inline xmlns:a="http://schemas.openxmlformats.org/drawingml/2006/main" xmlns:pic="http://schemas.openxmlformats.org/drawingml/2006/picture">
            <wp:extent cx="5486400" cy="5407215"/>
            <wp:docPr id="1" name="Picture 1"/>
            <wp:cNvGraphicFramePr>
              <a:graphicFrameLocks noChangeAspect="1"/>
            </wp:cNvGraphicFramePr>
            <a:graphic>
              <a:graphicData uri="http://schemas.openxmlformats.org/drawingml/2006/picture">
                <pic:pic>
                  <pic:nvPicPr>
                    <pic:cNvPr id="0" name="A 3444-2023 karta.png"/>
                    <pic:cNvPicPr/>
                  </pic:nvPicPr>
                  <pic:blipFill>
                    <a:blip r:embed="rId16"/>
                    <a:stretch>
                      <a:fillRect/>
                    </a:stretch>
                  </pic:blipFill>
                  <pic:spPr>
                    <a:xfrm>
                      <a:off x="0" y="0"/>
                      <a:ext cx="5486400" cy="5407215"/>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6626147, E 723572 i SWEREF 99 TM.</w:t>
      </w:r>
    </w:p>
    <w:p>
      <w:r>
        <w:t>I och inom 25 meter från avverkningsanmälan finns fynd av 7 naturvårdsarter, varav 2 är rödlistade och 6 är fridlysta: jungfrulin (NT), nordfladdermus (NT, §4a), dvärgpipistrell (§4a), gråskimlig fladdermus (§4a), större brunfladdermus (§4a), trollpipistrell (§4a) och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Gråskimlig fladdermus (§4a)</w:t>
      </w:r>
      <w:r>
        <w:t xml:space="preserve"> omfattas av bilaga 4 EU:s art- och habitatdirektiv vilket innebär ett strikt skydd där arten och dess livsmiljöer ska bevaras. Arten födosöker i halvöppna miljöer, t.ex. i glesa skogar, trädbärande betesmarker, brynmiljöer, parker och i anslutning till sjöar och vattendrag.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rPr>
          <w:b/>
        </w:rPr>
        <w:t>Trollpipistrell (§4a)</w:t>
      </w:r>
      <w:r>
        <w:t xml:space="preserve"> omfattas av bilaga 4 EU:s art- och habitatdirektiv vilket innebär ett strikt skydd för arten och dess livsmiljöer. Trollpipistrell förekommer i gles barr- och lövskog, i trädbärande beteshagar, i kantzoner mellan skog och odlingsmark, i närheten av sjöar och vattendrag samt i bymiljöer. Den undviker stora öppna miljöer såsom åkrar och hyggen och gynnas av ett landskap med mycket lövträd, vatten och hålträd. Under året utnyttjas många olika miljöer och ett effektivt bevarandearbete måste därför utgå från ett landskapsekologiskt perspektiv. Ett varierat landskap med hög andel äldre lövträd, småvatten, sumpskogar, öppna våtmarker, ängar och betesmarker, är gynnsamt för insekter vilket skapar förutsättningar för fladdermöss att finna tillräckligt med föda (SLU Artdatabanken, 2024).</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