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46 naturvårdsarter hittats: ask (EN), duvspindling (VU), fjällfotad fingersvamp (VU), fläckfingersvamp (VU), grangråticka (VU), gul lammticka (VU), gyllenfingersvamp (VU), koppartaggsvamp (VU), lakritsmusseron (VU), läderdoftande fingersvamp (VU), roslagsfingersvamp (VU), stor odörspindling (VU), violettfläckig spindling (VU), violgubbe (VU), bittermusseron (NT), blek fingersvamp (NT), flattoppad klubbsvamp (NT), granticka (NT), gul taggsvamp (NT), gultoppig fingersvamp (NT), Hapalopilus aurantiacus (NT), kungsspindling (NT), odörspindling (NT), orange taggsvamp (NT), persiljespindling (NT), rosenticka (NT), slåtterfibbla (NT), ullticka (NT), äggspindling (NT), anisspindling (S), brandticka (S), fjällig taggsvamp s.str. (S), guldkremla (S), hagfingersvamp (S), kryddspindling (S), nästrot (S, §8), olivspindling (S), Ramaria flavoides (S), Ramaria neoformosa (S), rödgul trumpetsvamp (S), skarp dropptaggsvamp (S), spetsvaxskivling (S), svavelriska (S), tjockfotad fingersvamp (S), trådticka (S) och zontaggsvamp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