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5097-2024 i Norrtälje kommun</w:t>
      </w:r>
    </w:p>
    <w:p>
      <w:r>
        <w:t>Detta klagomål behandlar höga naturvärden i samrådsanmälan S 5097-2024 i Norrtälje kommun som inkom 2024-12-16 och omfattar 2,1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S 5097-2024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6641853, E 718472 i SWEREF 99 TM.</w:t>
      </w:r>
    </w:p>
    <w:p>
      <w:r>
        <w:t>I och inom 15 meter från samrådsanmälan finns fynd av 8 naturvårdsarter, varav 4 är rödlistade, 1 är fridlyst, 3 är typiska (T) och 4 är signalarter (S): grangråticka (VU, T), fjällig taggsvamp s.str. (NT), jättespindling (NT), scharlakansvaxing (NT), skogsknipprot (S, T, §8), svavelriska (S), toppvaxing (S) och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Jättespindling (NT)</w:t>
      </w:r>
      <w:r>
        <w:t xml:space="preserve"> bildar mykorrhiza med ek, lind, avenbok, bok och hassel. Växer i ädellövskog, ädellövbryn, löväng och hagmark, bäckraviner på kalkrik och ofta betad mark. Minskningstakten har uppgått till 15 % under de senaste 50 åren och bedöms vara nära gränsvärdet för Sårbar (VU) (SLU Artdatabanken, 2026).</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