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56 naturvårdsarter hittats: ask (EN), duvspindling (VU), dysterspindling (VU), fjällfotad fingersvamp (VU), fläckfingersvamp (VU), grangråticka (VU), granrotspindling (VU), gul lammticka (VU), gyllenfingersvamp (VU), koppartaggsvamp (VU), lakritsmusseron (VU), läderdoftande fingersvamp (VU), roslagsfingersvamp (VU), violettfläckig spindling (VU), violgubbe (VU), apelsinticka (NT), bittermusseron (NT), blek fingersvamp (NT), dofttaggsvamp (NT), flattoppad klubbsvamp (NT), grantaggsvamp (NT), granticka (NT), gul taggsvamp (NT), gultoppig fingersvamp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Dysterspindling (VU)</w:t>
      </w:r>
      <w:r>
        <w:t xml:space="preserve"> bildar mykorrhiza med gran, i äldre granskog på näringsrik mark. Den totala populationen i landet bedöms ha minskat och förväntas fortsätta minska på grund av slutavverkning av äldre barrskog och kontinuitetsskog. Generellt är det största hotet för sällsynta mykorrhizasvampar att värdträden på växtplatserna avverkas. Kalavverkning och efterföljande markbearbetning innebär att arten försvinner (SLU Artdatabanken, 2026).</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Roslagsfingersvamp (EN) </w:t>
      </w:r>
      <w:r>
        <w:t>är en mycket sällsynt och starkt hotad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