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8557-2021 i Norrtälje kommun</w:t>
      </w:r>
    </w:p>
    <w:p>
      <w:r>
        <w:t>Denna tillsynsbegäran behandlar höga naturvärden i samrådsanmälan S 8557-2021 i Norrtälje kommun som inkom 2021-10-28 och omfattar 20,7 ha.</w:t>
      </w:r>
    </w:p>
    <w:p>
      <w:pPr>
        <w:pStyle w:val="Caption"/>
      </w:pPr>
      <w:r>
        <w:drawing>
          <wp:inline xmlns:a="http://schemas.openxmlformats.org/drawingml/2006/main" xmlns:pic="http://schemas.openxmlformats.org/drawingml/2006/picture">
            <wp:extent cx="5486400" cy="5044368"/>
            <wp:docPr id="1" name="Picture 1"/>
            <wp:cNvGraphicFramePr>
              <a:graphicFrameLocks noChangeAspect="1"/>
            </wp:cNvGraphicFramePr>
            <a:graphic>
              <a:graphicData uri="http://schemas.openxmlformats.org/drawingml/2006/picture">
                <pic:pic>
                  <pic:nvPicPr>
                    <pic:cNvPr id="0" name="S 8557-2021 karta.png"/>
                    <pic:cNvPicPr/>
                  </pic:nvPicPr>
                  <pic:blipFill>
                    <a:blip r:embed="rId16"/>
                    <a:stretch>
                      <a:fillRect/>
                    </a:stretch>
                  </pic:blipFill>
                  <pic:spPr>
                    <a:xfrm>
                      <a:off x="0" y="0"/>
                      <a:ext cx="5486400" cy="5044368"/>
                    </a:xfrm>
                    <a:prstGeom prst="rect"/>
                  </pic:spPr>
                </pic:pic>
              </a:graphicData>
            </a:graphic>
          </wp:inline>
        </w:drawing>
      </w:r>
    </w:p>
    <w:p>
      <w:pPr>
        <w:pStyle w:val="Caption"/>
        <w:spacing w:after="240"/>
      </w:pPr>
      <w:r>
        <w:t>Figur 1. Fyndplatser för naturvårdsarter i och inom 11 meter från samrådsanmälan. Markörer utan svart kant är placerade på fyndplatsen. Markörer med svart kant är placerade vid sidan av fyndplatsen har ett svart streck som visar fyndplatsens exakta position. Kartans mittpunktskoordinat är N 6627478, E 683470 i SWEREF 99 TM.</w:t>
      </w:r>
    </w:p>
    <w:p>
      <w:r>
        <w:t>I och inom 11 meter från samrådsanmälan finns fynd av 25 naturvårdsarter, varav 14 är rödlistade, 4 är fridlysta, 15 är typiska (T) och 9 är signalarter (S): koppartaggsvamp (EN), knärot (VU, T, §8), ulltickeporing (VU), Blastenia relicta (NT), dropptaggsvamp (NT, T), fjällig taggsvamp s.str. (NT), gransotdyna (NT), motaggsvamp (NT, T), orange taggsvamp (NT, T), rynkskinn (NT, T), skarp dropptaggsvamp (NT), tallticka (NT, T), ullticka (NT, T), vedtrappmossa (NT, T), brandticka (S), bronshjon (S, T), grovticka (S, T), grönpyrola (S, T), nästrot (S, §8), rödgul trumpetsvamp (S), svart trolldruva (S, T), trådticka (S, T), vågbandad barkbock (S), blåsippa (T, §9)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Koppartaggsvamp (EN) </w:t>
      </w:r>
      <w:r>
        <w:t>är en starkt hotad svamp som bildar mykorrhiza med gran i örtrik äldre granskog på kalkrik mark. Arten är en mycket bra indikator på skyddsvärda kalkgranskogar och påfallande ofta växer den tillsammans med raggtaggsvamp (EN). Koppartaggsvamp ingår i ett åtgärdsprogram för hotade arter (ÅGP) och dess långsiktiga överlevnad säkras genom att växtplatserna undantas från avverkning. Den totala populationen i landet har minskat kraftigt och minskningstakten, som uppgår till 50 (30–70) % inom 50 år, överstiger gränsvärdet för starkt hotad (EN) (SLU Artdatabanken, 2026; Nitare &amp; Skogsstyrelsen, 2019; Nitare, 2006).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5 fyndplatser för knärot registrerade på Artportalen. Figur 2 visar gränserna för buffertzoner på 50 m, som behöver lämnas kring fyndplatserna för att knärotslokalerna inte ska försvinna vid en avverkning. Av det samrådsanmälda området överlappar 1.59 ha med buffertzonerna och får av detta skäl inte avverkas.</w:t>
      </w:r>
    </w:p>
    <w:p>
      <w:pPr>
        <w:pStyle w:val="Caption"/>
      </w:pPr>
      <w:r>
        <w:drawing>
          <wp:inline xmlns:a="http://schemas.openxmlformats.org/drawingml/2006/main" xmlns:pic="http://schemas.openxmlformats.org/drawingml/2006/picture">
            <wp:extent cx="5486400" cy="6635671"/>
            <wp:docPr id="2" name="Picture 2"/>
            <wp:cNvGraphicFramePr>
              <a:graphicFrameLocks noChangeAspect="1"/>
            </wp:cNvGraphicFramePr>
            <a:graphic>
              <a:graphicData uri="http://schemas.openxmlformats.org/drawingml/2006/picture">
                <pic:pic>
                  <pic:nvPicPr>
                    <pic:cNvPr id="0" name="S 8557-2021 karta knärot.png"/>
                    <pic:cNvPicPr/>
                  </pic:nvPicPr>
                  <pic:blipFill>
                    <a:blip r:embed="rId17"/>
                    <a:stretch>
                      <a:fillRect/>
                    </a:stretch>
                  </pic:blipFill>
                  <pic:spPr>
                    <a:xfrm>
                      <a:off x="0" y="0"/>
                      <a:ext cx="5486400" cy="6635671"/>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6627478, E 683470 i SWEREF 99 TM.</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i/>
        </w:rPr>
        <w:t xml:space="preserve">Blastenia relicta </w:t>
      </w:r>
      <w:r>
        <w:rPr>
          <w:b/>
        </w:rPr>
        <w:t>(NT)</w:t>
      </w:r>
      <w:r>
        <w:t xml:space="preserve"> är en rostorangelav som växer på aspgrenar, men även på stammar på senvuxna, öppet stående träd. I södra Sverige växer den ibland på ädellövträd. Arten har i södra och mellersta Sverige minskat, sannolikt dels p.g.a. att antalet senvuxna aspar i skogsmark blivit färre. Kända lokaler bör skyddas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Gransotdyna (NT)</w:t>
      </w:r>
      <w:r>
        <w:t xml:space="preserve"> är en nedbrytare på grova, murkna, ofta barklösa stubbar och liggande stammar av gran, sällan även av bok. Den kräver tillgång till lågor och stubbar i frisk till fuktig miljö och är helt bunden till skogsbestånd med hög bonitet. Gransotdyna hotas av det intensiva utnyttjandet av granskogar med hög bonitet. Arten förekommer främst i de sydliga delarna av landet där bristen på äldre skog är mest påtaglig. Alla lokaler för arten måste undantas från rationellt skogsbruk och tillgången på död ved av grova dimensioner måste säkerställas. Fler områden med äldre granskog måste skyddas i södra Sverige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knärot (VU, T, §8), dropptaggsvamp (NT, T), motaggsvamp (NT, T), orange taggsvamp (NT, T), rynkskinn (NT, T), tallticka (NT, T), ullticka (NT, T), vedtrappmossa (NT, T), bronshjon (S, T), grovticka (S, T), grönpyrola (S, T), svart trolldruva (S, T), trådticka (S, T), blåsippa (T, §9)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