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34 naturvårdsarter, varav 18 är rödlistade, 9 är fridlysta, 20 är typiska (T) och 8 är signalarter (S): koboltspindling (EN), skogsalm (EN), aspgelélav (VU, T), grangråticka (VU, T), knärot (VU, T, §8), kopparspindling (VU), läderdoftande fingersvamp (VU), barrfagerspindling (NT), fjällig taggsvamp s.str. (NT), järnsparv (NT, §4), motaggsvamp (NT, T), persiljespindling (NT), skarp dropptaggsvamp (NT), sårläka (NT, T), tallticka (NT, T), ullticka (NT, T), vit vedfingersvamp (NT), vårärt (NT, T), barkticka (S, T), grönpyrola (S, T), guldlockmossa (S, T), mörk husmossa (S, T), platt fjädermossa (S, T), skogsknipprot (S, T, §8), stor aspticka (S, T), svavelriska (S),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Koboltspindling (EN)</w:t>
      </w:r>
      <w:r>
        <w:t xml:space="preserve"> är en starkt hotad art som bildar mykorrhiza med gran i kalkbarrskog. Huvudsakligen knuten till äldre skog på frisk till fuktig mark. Få bekräftade fynd i landet, från Dalarna och Uppland. Den totala populationen i landet bedöms vara liten,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motaggsvamp (NT, T), sårläka (NT, T), tallticka (NT, T), ullticka (NT, T), vårärt (NT, T), barkticka (S, T), grönpyrola (S, T), guldlockmossa (S, T), mörk husmossa (S, T), platt fjädermossa (S, T), skogsknipprot (S, T, §8),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