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22960-2019 i Norrtälje kommun</w:t>
      </w:r>
    </w:p>
    <w:p>
      <w:r>
        <w:t>Detta dokument behandlar höga naturvärden i avverkningsanmälan A 22960-2019 i Norrtälje kommun. Denna avverkningsanmälan inkom 2019-05-03 och omfattar 65,9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26 naturvårdsarter hittats: koppartaggsvamp (VU), läderdoftande fingersvamp (VU), violgubbe (VU), blek fingersvamp (NT), granticka (NT), gultoppig fingersvamp (NT), spillkråka (NT, §4), svart taggsvamp (NT), tallticka (NT), anisspindling (S), brandticka (S), bronshjon (S), fjällig taggsvamp s.str. (S), granbarkgnagare (S), grön sköldmossa (S, §8), kattfotslav (S), nästrot (S, §8), olivspindling (S), skarp dropptaggsvamp (S), skogsknipprot (S, §8), svavelriska (S), sårläka (S), tibast (S), trådticka (S), vårärt (S) och blåsippa (§9). Av dessa är 9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79684"/>
            <wp:docPr id="1" name="Picture 1"/>
            <wp:cNvGraphicFramePr>
              <a:graphicFrameLocks noChangeAspect="1"/>
            </wp:cNvGraphicFramePr>
            <a:graphic>
              <a:graphicData uri="http://schemas.openxmlformats.org/drawingml/2006/picture">
                <pic:pic>
                  <pic:nvPicPr>
                    <pic:cNvPr id="0" name="A 22960-2019 karta.png"/>
                    <pic:cNvPicPr/>
                  </pic:nvPicPr>
                  <pic:blipFill>
                    <a:blip r:embed="rId16"/>
                    <a:stretch>
                      <a:fillRect/>
                    </a:stretch>
                  </pic:blipFill>
                  <pic:spPr>
                    <a:xfrm>
                      <a:off x="0" y="0"/>
                      <a:ext cx="5486400" cy="347968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6646590, E 717196 i SWEREF 99 TM.</w:t>
      </w:r>
    </w:p>
    <w:p>
      <w:pPr>
        <w:pStyle w:val="Heading1"/>
      </w:pPr>
      <w:r>
        <w:t>Fridlysta arter</w:t>
      </w:r>
    </w:p>
    <w:p>
      <w:r>
        <w:t>Följande fridlysta arter har sina livsmiljöer och växtplatser i den avverkningsanmälda skogen: spillkråka (NT, §4), grön sköldmossa (S, §8), nästrot (S, §8), skogsknipprot (S, §8) och blåsippa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Grön sköldmossa (§8)</w:t>
      </w:r>
      <w:r>
        <w:t xml:space="preserve"> omfattas av EU:s art- och habitatdirektiv bilaga 2 vilket innebär att det är en prioriterad art och att det finns ett uttalat intresse inom Europeiska unionen att bevara arten. Grön sköldmossa kräver skog som har ett speciellt mikroklimat med hög och jämn luftfuktighet i kombination med rik tillgång på död ved (Nitare, 2019).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25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26 naturvårdsarter varav 9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Grön sköldmossa – ekologi samt krav på livsmiljön</w:t>
      </w:r>
    </w:p>
    <w:p>
      <w:r>
        <w:t>Grön sköldmossa, fridlyst enligt 8§ artskyddsförordningen, växer på stubbar och lågor av olika trädslag, huvudsakligen i sena nedbrytningsstadier och på och mellan grova rötter av levande och döda träd. Den förekommer i Sverige främst i näringsrika granskogar med stort inslag av löv, arten är kortlivad och antalet kapslar varierar kraftigt mellan olika år (SLU Artdatabanken, 2021). Grön sköldmossa kräver skog som har ett speciellt mikroklimat med hög och jämn luftfuktighet i kombination med rik tillgång på död ved (Nitare, 2019). I praktiken handlar det om åtminstone 50 meter med skyddande skog för att undvika uttorkning av marken (Hallingbäck, personligt meddelande 2022-02-24).</w:t>
      </w:r>
    </w:p>
    <w:p>
      <w:r>
        <w:t>Arten har sin huvudutbredning i sydöstra Sverige (SLU Artdatabanken, 2021). Allvarligaste hoten mot arten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w:t>
      </w:r>
    </w:p>
    <w:p>
      <w:r>
        <w:t>Grön sköldmossa är upptagen i EU:s Habitatdirektiv bilaga 2 vilket innebär att det är en prioriterad art och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Grön sköldmossa är typisk art för 9010 Taiga och 9750 Svämlövskog (Natura 2000) och omfattas även av Bernkonventionen bilaga 1.</w:t>
      </w:r>
    </w:p>
    <w:p>
      <w:r>
        <w:t>Fridlysningen enligt §§ 8 och 15 Artskyddsförordningen innebär att det är förbjudet att på något sätt skada exemplar av arten. Artskyddsförordning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1 till fågeldirektivet eller bilaga 2 till art- och habitatdirektivet.</w:t>
      </w:r>
    </w:p>
    <w:p>
      <w:r>
        <w:t>Mark- och miljööverdomstolen (MÖD) har i mål nr M 2019-20 (18 februari 2019) slagit fast att grön sköldmossa (§8) är dispenspliktig och att exemplar av arten inte får skadas utan dispens (MÖD, mål nr M 2019-20).</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 Se nedan.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pPr>
        <w:pStyle w:val="Heading3"/>
      </w:pPr>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