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dokument behandlar höga naturvärden i avverkningsanmälan A 17785-2024 i Norrtälje kommun som inkom 2024-05-06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10 naturvårdsarter hittats: kornknarr (EN, §4), blå kärrhök (VU, §4), gräshoppsångare (VU, §4), stare (VU, §4), svart rödstjärt (VU, §4), tornseglare (VU, §4), flodsångare (NT, §4), göktyta (NT, §4), sädesärla (NT, §4) och svartvit flugsnappare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6649148, E 702265 i SWEREF 99 TM.</w:t>
      </w:r>
    </w:p>
    <w:p>
      <w:pPr>
        <w:pStyle w:val="Heading2"/>
      </w:pPr>
      <w:r>
        <w:t>Fridlysta arter</w:t>
      </w:r>
    </w:p>
    <w:p>
      <w:r>
        <w:t>Följande fridlysta arter har sina livsmiljöer och växtplatser i den avverkningsanmälda skogen: kornknarr (EN, §4), blå kärrhök (VU, §4), gräshoppsångare (VU, §4), stare (VU, §4), svart rödstjärt (VU, §4), tornseglare (VU, §4), flodsångare (NT, §4), göktyta (NT,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