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50326-2024 i Norrtälje kommun</w:t>
      </w:r>
    </w:p>
    <w:p>
      <w:r>
        <w:t>Detta klagomål behandlar höga naturvärden i avverkningsanmälan A 50326-2024 i Norrtälje kommun som inkom 2024-11-04 och omfattar 23,9 ha.</w:t>
      </w:r>
    </w:p>
    <w:p>
      <w:pPr>
        <w:pStyle w:val="Caption"/>
      </w:pPr>
      <w:r>
        <w:drawing>
          <wp:inline xmlns:a="http://schemas.openxmlformats.org/drawingml/2006/main" xmlns:pic="http://schemas.openxmlformats.org/drawingml/2006/picture">
            <wp:extent cx="4136623" cy="5724000"/>
            <wp:docPr id="1" name="Picture 1"/>
            <wp:cNvGraphicFramePr>
              <a:graphicFrameLocks noChangeAspect="1"/>
            </wp:cNvGraphicFramePr>
            <a:graphic>
              <a:graphicData uri="http://schemas.openxmlformats.org/drawingml/2006/picture">
                <pic:pic>
                  <pic:nvPicPr>
                    <pic:cNvPr id="0" name="A 50326-2024 karta.png"/>
                    <pic:cNvPicPr/>
                  </pic:nvPicPr>
                  <pic:blipFill>
                    <a:blip r:embed="rId16"/>
                    <a:stretch>
                      <a:fillRect/>
                    </a:stretch>
                  </pic:blipFill>
                  <pic:spPr>
                    <a:xfrm>
                      <a:off x="0" y="0"/>
                      <a:ext cx="4136623"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6645842, E 724687 i SWEREF 99 TM.</w:t>
      </w:r>
    </w:p>
    <w:p>
      <w:r>
        <w:t>I och inom 22 meter från avverkningsanmälan finns fynd av 26 naturvårdsarter, varav 5 är rödlistade, 6 är fridlysta, 17 är typiska (T) och 11 är signalarter (S): ask (EN), lunglav (NT, T), sommarfibbla (NT), sårläka (NT, T), vårärt (NT, T), barkticka (S, T), bårdlav (S, T), dvärgtufs (S), fällmossa (S, T), lönnlav (S), nästrot (S, §8), rostfläck (S, T), slät lönnlav (S), svart trolldruva (S, T), tibast (S, T), tvåblad (S, §8), blåsippa (T, §9), brudborste (T), glansfläck (T), kransmossa (T), krushättemossa (T), ormbär (T), spillkråka (T, §4), tandrot (T), fläcknycklar (§8)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Glansfläck</w:t>
      </w:r>
      <w:r>
        <w:t xml:space="preserve"> signalerar skyddsvärda lövträdsbestånd som ofta hyser ett flertal rödlistade lavar. Många växtplatser har långvarig trädkontinuitet. Laven indikerar främst miljöer med konstant hög och jämn luftfuktighet och ostörda markvattenförhållanden. Glansfläck är typisk art för </w:t>
      </w:r>
      <w:r>
        <w:rPr>
          <w:i/>
        </w:rPr>
        <w:t>9190 Näringsfattig ekskog</w:t>
      </w:r>
      <w:r>
        <w:t xml:space="preserve"> (Nitare &amp; Skogsstyrelsen, 2000;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Tandrot </w:t>
      </w:r>
      <w:r>
        <w:t xml:space="preserve">är typisk art för </w:t>
      </w:r>
      <w:r>
        <w:rPr>
          <w:i/>
        </w:rPr>
        <w:t xml:space="preserve">9020 Nordlig ädellövskog </w:t>
      </w:r>
      <w:r>
        <w:t>och</w:t>
      </w:r>
      <w:r>
        <w:rPr>
          <w:i/>
        </w:rPr>
        <w:t xml:space="preserve"> 9130 Näringsrik bokskog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