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51334-2022 i Norrtälje kommun</w:t>
      </w:r>
    </w:p>
    <w:p>
      <w:r>
        <w:t>Detta dokument behandlar höga naturvärden i avverkningsanmälan A 51334-2022 i Norrtälje kommun. Denna avverkningsanmälan inkom 2022-11-04 00:00:00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västlig njurlav (VU), gränsticka (NT), kortskaftad ärgspik (NT), rödbrun blekspik (NT), större flatbagge (NT), ullticka (NT), vedtrappmossa (NT), brandticka (S), bronshjon (S), grön sköldmossa (S, §8), myskmadra (S), skogshakmossa (S), stubbspretmossa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15527"/>
            <wp:docPr id="1" name="Picture 1"/>
            <wp:cNvGraphicFramePr>
              <a:graphicFrameLocks noChangeAspect="1"/>
            </wp:cNvGraphicFramePr>
            <a:graphic>
              <a:graphicData uri="http://schemas.openxmlformats.org/drawingml/2006/picture">
                <pic:pic>
                  <pic:nvPicPr>
                    <pic:cNvPr id="0" name="A 51334-2022 karta.png"/>
                    <pic:cNvPicPr/>
                  </pic:nvPicPr>
                  <pic:blipFill>
                    <a:blip r:embed="rId16"/>
                    <a:stretch>
                      <a:fillRect/>
                    </a:stretch>
                  </pic:blipFill>
                  <pic:spPr>
                    <a:xfrm>
                      <a:off x="0" y="0"/>
                      <a:ext cx="5486400" cy="1715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6651300, E 690596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Större flatbagge</w:t>
      </w:r>
      <w:r>
        <w:rPr>
          <w:b/>
          <w:i/>
        </w:rPr>
        <w:t xml:space="preserve"> </w:t>
      </w:r>
      <w:r>
        <w:rPr>
          <w:b/>
        </w:rPr>
        <w:t xml:space="preserve">(NT) </w:t>
      </w:r>
      <w:r>
        <w:t>är en skalbagge vars larvutveckling sker i brunrötad ved i högstubbar eller torrträd av både barrträd och lövträd, oftast tall, gran och björk, men även asp, klibbal och gråal. Vedsvampar som skapar lämplig vedröta är klibbticka och björkticka. När skalbaggarna lämnar veden uppstår typiskt stora, ovala flyghål på vedytan, i formen ungefär som ett avrundat myntinkast. De födosöker gärna på undersidan av levande klibbtickor, varvid det uppstår ytliga gnagspår i sporlagret. Arten hotas av bekämpningsaktioner mot den åttatandade barkborren, vilken genom ståndskogsangrepp dödar träd som knappt tio år senare blir mycket lämpliga för stor flatbagge. På många ställen minskar snabbt de bestånd av gammal vårtbjörk som även är viktiga för artens överlevnad. Främst är det viktigt att gammal granskog eller lövbrännor sparas i form av nyckelbiotoper eller reservat. I den brukade skogen är det viktigt att spara stående torrgranar och vårtbjörkar samt att man ej har långa tidsmässiga specialföreskrifter för att eliminera sparande av granbarkborregranar som undanrycker successionsmöjligheter av utvecklingssubstrat för denna och många andra rödlistade arter i hela län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Västlig njurlav (VU)</w:t>
      </w:r>
      <w:r>
        <w:t xml:space="preserve"> växer på mossiga lövträdstammar eller klippor i områden med hög luftfuktighet och förekommer huvudsakligen på lövträd, främst asp men ofta också på ask, sälg, rönn, ek och lönn. Den mest typiska miljön är halvöppen blandskog i bergskanter med gran och senvuxna aspar. Arten hotas av avverkning av asp och andra lövträd i blandskogar samt av utglesning av skog på eller i omedelbar närhet av växtplatsen. Nyetablering och spridning försvåras av att aspar i blandskogar ofta avverkas i samband med gallringar. Lämpliga miljöer nyskapas i mycket begränsad omfattning. Västlig njurlav är placerad högst upp i Skogsstyrelsens värdepyramid för bedömning av skog med höga naturvärden och har minskat med 25 (20–30) % under de senaste 50 åren. Sedan 2010 har minskningstakten ökat och överstiger gränsvärdet för Sårbar (VU) enligt A-kriteriet. (A3bc) (SLU Artdatabanken, 2024;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