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60019-2022 i Norrtälje kommun</w:t>
      </w:r>
    </w:p>
    <w:p>
      <w:r>
        <w:t>Detta dokument behandlar höga naturvärden i avverkningsanmälan A 60019-2022 i Norrtälje kommun. Denna avverkningsanmälan inkom 2022-12-14 00:00:00 och omfattar 6,7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24 naturvårdsarter hittats: raggtaggsvamp (EN), bitter taggsvamp (VU), brödtaggsvamp (VU), koppartaggsvamp (VU), violgubbe (VU), dofttaggsvamp (NT), druvfingersvamp (NT), flattoppad klubbsvamp (NT), garnlav (NT), granticka (NT), orange taggsvamp (NT), spillkråka (NT, §4), svartvit taggsvamp (NT), ullticka (NT), bronshjon (S), fjällig taggsvamp s.str. (S), grön sköldmossa (S, §8), kamjordstjärna (S), rödgul trumpetsvamp (S), skarp dropptaggsvamp (S), sårläka (S), tibast (S), zontaggsvamp (S) och blåsippa (§9).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5722"/>
            <wp:docPr id="1" name="Picture 1"/>
            <wp:cNvGraphicFramePr>
              <a:graphicFrameLocks noChangeAspect="1"/>
            </wp:cNvGraphicFramePr>
            <a:graphic>
              <a:graphicData uri="http://schemas.openxmlformats.org/drawingml/2006/picture">
                <pic:pic>
                  <pic:nvPicPr>
                    <pic:cNvPr id="0" name="A 60019-2022 karta.png"/>
                    <pic:cNvPicPr/>
                  </pic:nvPicPr>
                  <pic:blipFill>
                    <a:blip r:embed="rId16"/>
                    <a:stretch>
                      <a:fillRect/>
                    </a:stretch>
                  </pic:blipFill>
                  <pic:spPr>
                    <a:xfrm>
                      <a:off x="0" y="0"/>
                      <a:ext cx="5486400" cy="3785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6654939, E 710793 i SWEREF 99 TM.</w:t>
      </w:r>
    </w:p>
    <w:p>
      <w:r>
        <w:rPr>
          <w:b/>
        </w:rPr>
        <w:t xml:space="preserve">Bitter taggsvamp (VU) </w:t>
      </w:r>
      <w:r>
        <w:t>är en sällsynt ”toppart” som huvudsakligen förekommer på rik mark i gamla barrskogar med långvarig kontinuitet. Svampen har i friskt tillstånd en säregen doft av bittermandelolja och fruktköttet är mycket bittert i smaken. Arten ingår i ett åtgärdsprogram för hotade arter (ÅGP) och är placerad högst upp i Skogsstyrelsens värdepyramid för bedömning av skog med höga naturvärden. Arten missgynnas av skogsbruk och eftersom den huvudsakligen växer i äldre barrskog hotas flera växtplatser av slutavverkning. Fler områden med äldre barskog på kalkrik mark bör skyddas och helt undantas från skogsbruk (SLU Artdatabanken, 2024; Nitare &amp; Skogsstyrelsen, 2019).</w:t>
      </w:r>
    </w:p>
    <w:p>
      <w:r>
        <w:rPr>
          <w:b/>
        </w:rPr>
        <w:t xml:space="preserve">Brödtaggsvamp (VU) </w:t>
      </w:r>
      <w:r>
        <w:t>är en sällsynt ”toppart” som växer i äldre barrskogar med gran, gärna i fuktiga sänkor eller skogar med hög luftfuktighet.  Svampen har en säregen doft som liknats vid lakrits, kakor eller pomerans. Den ingår i ett åtgärdsprogram för hotade arter (ÅGP) och är placerad högst upp i Skogsstyrelsens värdepyramid för bedömning av skog med höga naturvärden. Arten missgynnas av skogsbruk och hotas av slutavverkning eftersom den huvudsakligen växer i äldre barrskogar. Brödtaggsvamp är globalt rödlistad som nära hotad (NT) vilket innebär att Sverige har ett internationellt ansvar för arten (IUCN, 2025; SLU Artdatabanken, 2024; Nitare &amp; Skogsstyrelsen, 2019).</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Druvfingersvamp (NT) </w:t>
      </w:r>
      <w:r>
        <w:t>växer i skogar med lång skoglig kontinuitet och uppträder gärna på ytor med tunna humuslager och blottad mineraljord, t.ex. i sluttningar eller i närheten av stigar. Den är placerad högst upp i Skogsstyrelsens värdepyramid för bedömning av skog med höga naturvärden och all form av skogsavverkning innebär hot. Arten tål inte en slutavverkning och lokalerna bör undantas från rationella skogsbruksmetoder och inkluderas i formellt skyddad skog. Druvfingersvampar utgör en liten grupp snarlika arter, vilka utgör ett artkomplex som är under utredning. Gruppen omfattar minst fem olika arter i Sverige, men tills vidare behandlas druvfingersvamp här i en klassisk kollektiv bemärkelse som en enda art (SLU Artdatabanken, 2024; Nitare &amp; Skogsstyrelsen, 2019).</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Koppartaggsvamp (VU) </w:t>
      </w:r>
      <w:r>
        <w:t>bildar mykorrhiza med gran i örtrik äldre granskog på kalkrik mark. Arten är en mycket bra indikator på skyddsvärda kalkgranskogar och påfallande ofta växer den tillsammans med raggtaggsvamp (EN). Arten ingår i ett åtgärdsprogram för hotade arter (ÅGP) och dess långsiktiga överlevnad säkras genom att växtplatserna undantas från avverkning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Raggtaggsvamp (EN)</w:t>
      </w:r>
      <w:r>
        <w:t xml:space="preserve"> är en sällsynt och nationellt starkt hotad art som är knuten till gamla mossiga och örtrika kalkgranskogar med långvarig grankontinuitet. En ”toppart” som alltid indikerar starkt skyddsvärda kalkgranskogar. Raggtaggsvamp år globalt rödlistad som sårbar (VU) och Sverige har en betydande andel av den kända världspopulationen vilket innebär ett internationellt ansvar för arten. Arten försvinner vid slutavverkning vilket utgör det enskilt största hotet. (SLU Artdatabanken, 2024; Nitare &amp; Skogsstyrelsen, 2019; IUCN, 2015).</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Violgubbe (VU)</w:t>
      </w:r>
      <w:r>
        <w:t xml:space="preserve"> bildar mykorrhiza med gran och bok och ev. andra trädslag i ängsgran- och ängsbokskog på kalkrik mark. Arten är placerad högst upp i Skogsstyrelsens värdepyramid för bedömning av skog med höga naturvärden och indikerar alltid skogsområden med höga naturvärden. Det största hotet mot arten är skogsavverkning och den omfattas av ett åtgärdsprogram för hotade arter (ÅGP). Violgubben överlever inte en slutavverkning och verkar dessutom ha svårt att etablera sig i yngre skogsbestånd (SLU Artdatabanken, 2024; Nitare &amp; Skogsstyrelsen, 2019; Aronsson, 2006).</w:t>
      </w:r>
    </w:p>
    <w:p>
      <w:pPr>
        <w:pStyle w:val="Heading1"/>
      </w:pPr>
      <w:r>
        <w:t>Fridlysta arter</w:t>
      </w:r>
    </w:p>
    <w:p>
      <w:r>
        <w:t>Följande fridlysta arter har sina livsmiljöer och växtplatser i den avverkningsanmälda skogen: spillkråka (NT, §4), grön sköldmossa (S,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23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24 naturvårdsarter varav 14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