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8371-2025 i Norrtälje kommun</w:t>
      </w:r>
    </w:p>
    <w:p>
      <w:r>
        <w:t>Detta dokument behandlar höga naturvärden i avverkningsanmälan A 8371-2025 i Norrtälje kommun. Denna avverkningsanmälan inkom 2025-02-20 00:00:00 och omfattar 2,9 ha.</w:t>
      </w:r>
    </w:p>
    <w:p>
      <w:r>
        <w:t>Nedan presenteras fynd av naturvårdsarter och fridlysta arter som gjorts i det avverkningsanmälda området, samt relevanta utdrag ur standarderna för FSC, Chain of Custody, Controlled Wood och PEFC. I BILAGA 1 finns artfakta om fridlysta arter.</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spillkråka (NT, §4). Av dessa är 1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631320"/>
            <wp:docPr id="1" name="Picture 1"/>
            <wp:cNvGraphicFramePr>
              <a:graphicFrameLocks noChangeAspect="1"/>
            </wp:cNvGraphicFramePr>
            <a:graphic>
              <a:graphicData uri="http://schemas.openxmlformats.org/drawingml/2006/picture">
                <pic:pic>
                  <pic:nvPicPr>
                    <pic:cNvPr id="0" name="A 8371-2025 karta.png"/>
                    <pic:cNvPicPr/>
                  </pic:nvPicPr>
                  <pic:blipFill>
                    <a:blip r:embed="rId16"/>
                    <a:stretch>
                      <a:fillRect/>
                    </a:stretch>
                  </pic:blipFill>
                  <pic:spPr>
                    <a:xfrm>
                      <a:off x="0" y="0"/>
                      <a:ext cx="5486400" cy="4631320"/>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6612540, E 697561 i SWEREF 99 TM.</w:t>
      </w:r>
    </w:p>
    <w:p>
      <w:pPr>
        <w:pStyle w:val="Heading1"/>
      </w:pPr>
      <w:r>
        <w:t>Fridlysta arter</w:t>
      </w:r>
    </w:p>
    <w:p>
      <w:r>
        <w:t>Följande fridlysta arter har sina livsmiljöer och växtplatser i den avverkningsanmälda skogen: spillkråka (NT, §4).</w:t>
      </w:r>
    </w:p>
    <w:p>
      <w: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rPr>
          <w:b/>
        </w:rPr>
        <w:t>Spillkråka (NT, §4)</w:t>
      </w:r>
      <w:r>
        <w:t xml:space="preserve"> är rödlistad som nära hotad och ingår i bilaga 1 i EU:s fågeldirektiv. Den minskar i population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(SLU Artdatabanken, 2023).</w:t>
      </w:r>
    </w:p>
    <w:p>
      <w:r>
        <w:t>I BILAGA 1 finns mer detaljerad information om ekologi samt krav på livsmiljö hos fridlysta arter.</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r>
        <w:rPr>
          <w:i/>
        </w:rPr>
        <w:t xml:space="preserve"> EU:s medlemsländer och skogsbolag är skyldiga att agera i enlighet med EU:s fågeldirektiv där det uttryckligen står att direktivet gäller för fåglar samt för deras ägg, bon och </w:t>
      </w:r>
      <w:r>
        <w:rPr>
          <w:b/>
          <w:i/>
        </w:rPr>
        <w:t xml:space="preserve">livsmiljöer </w:t>
      </w:r>
      <w:r>
        <w:t>(artikel 1). Vidare att de åtgärder som vidtas inte får leda till en försämring av den nuvarande situationen beträffande bevarandet av de fågelarter som avses i artikel 1 (artikel 13).</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1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p>
      <w:r>
        <w:br w:type="page"/>
      </w:r>
    </w:p>
    <w:p>
      <w:pPr>
        <w:pStyle w:val="Title"/>
      </w:pPr>
      <w:r>
        <w:t>BILAGA 1 – Fridlysta arter</w:t>
      </w:r>
    </w:p>
    <w:p>
      <w:pPr>
        <w:pStyle w:val="Heading1"/>
      </w:pPr>
      <w:r>
        <w:t>Spillkråka – ekologi samt krav på livsmiljön</w:t>
      </w:r>
    </w:p>
    <w:p>
      <w:r>
        <w:t>Spillkråka (NT) är rödlistad som nära hotad, fridlyst enligt §4 Artskyddsförordningen och ingår i bilaga 1 i EU:s fågeldirektiv. Spillkråka lever i både barr- och blandskog liksom i ren lövskog. De tätaste populationerna tenderar att finnas i äldre, variationsrik blandskog med gott om död ved och gamla träd.</w:t>
      </w:r>
    </w:p>
    <w:p>
      <w:r>
        <w:t>Varje par utnyttjar 400–1000 hektar skog beroende på skogens kvalitet. En minskning av populationen pågår på grund av minskad tillgång på lämpliga bo- och födoträd och minskad födotillgång. Spillkråkans minskningstakt har uppgått till 19 (24–10) % under de senaste 15 åren. Minskningstakten för den svenska populationen bedöms vara nära gränsvärdet för Sårbar (VU) (A2bc). Skogsbruk med korta omloppstider och täta, homogena ungskogar utgör det största hotet (Artdatabanken 2023).</w:t>
      </w:r>
    </w:p>
    <w:p>
      <w:pPr>
        <w:pStyle w:val="Heading2"/>
      </w:pPr>
      <w:r>
        <w:t>Referenser – spillkråka</w:t>
      </w:r>
    </w:p>
    <w:p>
      <w:r>
        <w:t xml:space="preserve">SLU Artdatabanken, 2021. </w:t>
      </w:r>
      <w:r>
        <w:rPr>
          <w:i/>
        </w:rPr>
        <w:t xml:space="preserve">Artfaktablad. Naturvård – artfakta. </w:t>
      </w:r>
      <w:r>
        <w:t>SLU Artdatabanken, Uppsala</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2025-10-26</w:t>
      <w:br/>
      <w:br/>
    </w:r>
    <w:r>
      <w:t>Till: Övriga Aktiebolag</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