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9472-2025 i Norrtälje kommun</w:t>
      </w:r>
    </w:p>
    <w:p>
      <w:r>
        <w:t>Detta dokument behandlar höga naturvärden i avverkningsanmälan A 9472-2025 i Norrtälje kommun. Denna avverkningsanmälan inkom 2025-02-27 00:00:00 och omfattar 11,9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fläckfingersvamp (VU), knärot (VU, §8), koppartaggsvamp (VU), läderdoftande fingersvamp (VU), porslinsblå spindling (VU), ringlav (VU), violgubbe (VU), gul taggsvamp (NT), persiljespindling (NT), slåtterfibbla (NT), spillkråka (NT, §4), anisspindling (S), aprikosfingersvamp (S), bronshjon (S), fjällig taggsvamp s.str. (S), granbarkgnagare (S), grönpyrola (S), honungsvaxing (S), olivspindling (S), skarp dropptaggsvamp (S), sårläka (S), ängsfingersvamp (S), kungsfågel (§4),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19332"/>
            <wp:docPr id="1" name="Picture 1"/>
            <wp:cNvGraphicFramePr>
              <a:graphicFrameLocks noChangeAspect="1"/>
            </wp:cNvGraphicFramePr>
            <a:graphic>
              <a:graphicData uri="http://schemas.openxmlformats.org/drawingml/2006/picture">
                <pic:pic>
                  <pic:nvPicPr>
                    <pic:cNvPr id="0" name="A 9472-2025 karta.png"/>
                    <pic:cNvPicPr/>
                  </pic:nvPicPr>
                  <pic:blipFill>
                    <a:blip r:embed="rId16"/>
                    <a:stretch>
                      <a:fillRect/>
                    </a:stretch>
                  </pic:blipFill>
                  <pic:spPr>
                    <a:xfrm>
                      <a:off x="0" y="0"/>
                      <a:ext cx="5486400" cy="24193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6649858, E 712312 i SWEREF 99 TM.</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Porslinsblå spindling (VU)</w:t>
      </w:r>
      <w:r>
        <w:t xml:space="preserve"> är en mycket bra signalart på skyddsvärda kalkgranskogar där det föreligger långvarig grankontinuitet. Andelen äldre näringsrik granskog minskar i södra Sverige och därför fortsätter arten att minska. Det främsta hotet mot porslinsblå spindling är avverkning av de värdträd som den är helt beroende av. Den är placerad högst upp i Skogsstyrelsens värdepyramid för bedömning av skog med höga naturvärden och äldre granskogar där arten växer bör i möjligaste mån undantas från avverkning (SLU Artdatabanken, 2024; Nitare &amp; Skogsstyrelsen, 2019).</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Sårläka</w:t>
      </w:r>
      <w:r>
        <w:t xml:space="preserve"> växer på mullrik mark i skuggiga eller halvskuggiga lövskogar och lundar men också i örtrika kalkbarrskogar. Arten ingår i en exklusiv lundflora som bara uppträder i de allra rikaste kalkbarrskogarna söder om den biologiska norrlandsgränsen. I ädellövskogar och lundar är den också knuten till områden med en mycket rik mångfald av naturvårdsarter. Sårläka är värdväxt för den rödlistade fjärilen sårläkeplattmal (NT) (SLU Artdatabanken, 2024;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pPr>
        <w:pStyle w:val="Heading1"/>
      </w:pPr>
      <w:r>
        <w:t>Fridlysta arter</w:t>
      </w:r>
    </w:p>
    <w:p>
      <w:r>
        <w:t>Följande fridlysta arter har sina livsmiljöer och växtplatser i den avverkningsanmälda skogen: knärot (VU, §8), spillkråka (NT, §4), kungsfågel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30 fyndplatser för knärot registrerade på Artportalen. Figur 2 visar gränserna för buffertzoner på 50 m, som behöver lämnas kring fyndplatserna för att knärotslokalerna inte ska försvinna vid en avverkning. Av det avverkningsanmälda området överlappar 3.50 ha med buffertzonerna och får av detta skäl inte avverkas.</w:t>
      </w:r>
    </w:p>
    <w:p>
      <w:pPr>
        <w:pStyle w:val="Caption"/>
      </w:pPr>
      <w:r>
        <w:drawing>
          <wp:inline xmlns:a="http://schemas.openxmlformats.org/drawingml/2006/main" xmlns:pic="http://schemas.openxmlformats.org/drawingml/2006/picture">
            <wp:extent cx="5486400" cy="2782872"/>
            <wp:docPr id="2" name="Picture 2"/>
            <wp:cNvGraphicFramePr>
              <a:graphicFrameLocks noChangeAspect="1"/>
            </wp:cNvGraphicFramePr>
            <a:graphic>
              <a:graphicData uri="http://schemas.openxmlformats.org/drawingml/2006/picture">
                <pic:pic>
                  <pic:nvPicPr>
                    <pic:cNvPr id="0" name="A 9472-2025 karta knärot.png"/>
                    <pic:cNvPicPr/>
                  </pic:nvPicPr>
                  <pic:blipFill>
                    <a:blip r:embed="rId17"/>
                    <a:stretch>
                      <a:fillRect/>
                    </a:stretch>
                  </pic:blipFill>
                  <pic:spPr>
                    <a:xfrm>
                      <a:off x="0" y="0"/>
                      <a:ext cx="5486400" cy="278287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6649858, E 712312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