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14560-2021 i Norrtälje kommun</w:t>
      </w:r>
    </w:p>
    <w:p>
      <w:r>
        <w:t>Detta dokument behandlar höga naturvärden i avverkningsanmälan A 14560-2021 i Norrtälje kommun. Denna avverkningsanmälan inkom 2021-03-24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vit vedfingersvamp (NT), stor aspticka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9989"/>
            <wp:docPr id="1" name="Picture 1"/>
            <wp:cNvGraphicFramePr>
              <a:graphicFrameLocks noChangeAspect="1"/>
            </wp:cNvGraphicFramePr>
            <a:graphic>
              <a:graphicData uri="http://schemas.openxmlformats.org/drawingml/2006/picture">
                <pic:pic>
                  <pic:nvPicPr>
                    <pic:cNvPr id="0" name="A 14560-2021 karta.png"/>
                    <pic:cNvPicPr/>
                  </pic:nvPicPr>
                  <pic:blipFill>
                    <a:blip r:embed="rId16"/>
                    <a:stretch>
                      <a:fillRect/>
                    </a:stretch>
                  </pic:blipFill>
                  <pic:spPr>
                    <a:xfrm>
                      <a:off x="0" y="0"/>
                      <a:ext cx="5486400" cy="5999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6615086, E 695207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Vit vedfingersvamp (NT)</w:t>
      </w:r>
      <w:r>
        <w:t xml:space="preserve"> växer på murken lövved, främst grova och barklösa asplågor. Svampen indikerar sena aspsuccessioner inom områden med konstant hög luftfuktighet. Raviner, bergrötter och liknande platser med skuggiga förhållanden och fuktig mark med ett stort inslag av lövträd är exempel på biotoper där vit vedfingersvamp ofta växer och dessa bör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