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24218-2024 i Norrtälje kommun</w:t>
      </w:r>
    </w:p>
    <w:p>
      <w:r>
        <w:t>Detta dokument behandlar höga naturvärden i avverkningsanmälan A 24218-2024 i Norrtälje kommun. Denna avverkningsanmälan inkom 2024-06-14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ask (EN), blackticka (VU), granrotsspindling (VU), laxporing (VU), vågticka (VU), persiljespindling (NT), spillkråka (NT, §4), brandticka (S), bronshjon (S), fjällig taggsvamp s.str. (S), nästrot (S, §8), olivspindling (S), rökmusseron (S), skinnlav (S), stubbspretmossa (S), svart trolldruva (S), tjockfotad fingersvamp (S), vedticka (S), vågbandad barkbock (S), gröngöling (§4)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24218-2024 karta.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6634964, E 706246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Laxporing (VU)</w:t>
      </w:r>
      <w:r>
        <w:t xml:space="preserve"> är knuten till naturskog med stor mängd död ved och kontinuitet på grova lågor. För att klara arten på sikt behövs att ytterligare områden med gammal skog undantas från skogsbruk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spillkråka (NT, §4), nästrot (S, §8), gröngöling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