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30799-2025 i Norrtälje kommun</w:t>
      </w:r>
    </w:p>
    <w:p>
      <w:r>
        <w:t>Detta dokument behandlar höga naturvärden i avverkningsanmälan A 30799-2025 i Norrtälje kommun. Denna avverkningsanmälan inkom 2025-06-23 15:37:09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25 naturvårdsarter hittats: fläckfingersvamp (VU), grangråticka (VU), gul lammticka (VU), kopparspindling (VU), läderdoftande fingersvamp (VU), druvfingersvamp (NT), kungsspindling (NT), Leptoporus erubescens (NT), odörspindling (NT), orange taggsvamp (NT), persiljespindling (NT), puderspindling (NT), svartvit taggsvamp (NT), såpfingersvamp (NT), barrfagerspindling (S), brandmusseron (S), fjällig taggsvamp s.str. (S), jättesvampmal (S), olivspindling (S), skarp dropptaggsvamp (S), svart trolldruva (S), svavelriska (S), vårärt (S), zontaggsvamp (S) och nattviol (§8).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7123"/>
            <wp:docPr id="1" name="Picture 1"/>
            <wp:cNvGraphicFramePr>
              <a:graphicFrameLocks noChangeAspect="1"/>
            </wp:cNvGraphicFramePr>
            <a:graphic>
              <a:graphicData uri="http://schemas.openxmlformats.org/drawingml/2006/picture">
                <pic:pic>
                  <pic:nvPicPr>
                    <pic:cNvPr id="0" name="A 30799-2025 karta.png"/>
                    <pic:cNvPicPr/>
                  </pic:nvPicPr>
                  <pic:blipFill>
                    <a:blip r:embed="rId16"/>
                    <a:stretch>
                      <a:fillRect/>
                    </a:stretch>
                  </pic:blipFill>
                  <pic:spPr>
                    <a:xfrm>
                      <a:off x="0" y="0"/>
                      <a:ext cx="5486400" cy="511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6671397, E 699122 i SWEREF 99 TM.</w:t>
      </w:r>
    </w:p>
    <w:p>
      <w:r>
        <w:rPr>
          <w:b/>
        </w:rPr>
        <w:t xml:space="preserve">Druvfingersvamp (NT) </w:t>
      </w:r>
      <w:r>
        <w:t>växer i skogar med lång skoglig kontinuitet och uppträder gärna på ytor med tunna humuslager och blottad mineraljord, t.ex. i sluttningar eller i närheten av stigar. Den är placerad högst upp i Skogsstyrelsens värdepyramid för bedömning av skog med höga naturvärden och all form av skogsavverkning innebär hot. Arten tål inte en slutavverkning och lokalerna bör undantas från rationella skogsbruksmetoder och inkluderas i formellt skyddad skog. Druvfingersvampar utgör en liten grupp snarlika arter, vilka utgör ett artkomplex som är under utredning. Gruppen omfattar minst fem olika arter i Sverige, men tills vidare behandlas druvfingersvamp här i en klassisk kollektiv bemärkelse som en enda art (SLU Artdatabanken, 2024; Nitare &amp; Skogsstyrelsen, 2019).</w:t>
      </w:r>
    </w:p>
    <w:p>
      <w:r>
        <w:rPr>
          <w:b/>
        </w:rPr>
        <w:t xml:space="preserve">Fläckfingersvamp (VU) </w:t>
      </w:r>
      <w:r>
        <w:t>är en sällsynt ”toppart” som bildar mykorrhiza med dels bok i äldre bokskog, dels med gran i barrskog på näringsrik-kalkrik mark, sällsynt även med ek i ädellövskog. Svampen har en egenartad, ljust svavelgröngul färg som är svår att återge. På foten och i gamla skador får svampen karaktäristiska vinröda fläckar och är därför lätt att känna igen. All form av skogsavverkning i eller i närheten av växtplatsen missgynnar arten och skogsområden där den förekommer bör skyddas och undantas från rationellt skogsbruk. Fläckfingersvamp är placerad högst upp i Skogsstyrelsens värdepyramid för bedömning av skog med höga naturvärden och dess växtplatser utgör ofta s.k. ”hotspots” för ett stort antal rödlistade svampar (SLU Artdatabanken, 2024; Nitare &amp; Skogsstyrelsen, 2019).</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Gul lammticka (VU)</w:t>
      </w:r>
      <w:r>
        <w:t xml:space="preserve"> bildar mykorrhiza med gran och förekommer i örtrik barrskog på kalkrik mark. Arten är placerad högst upp i Skogsstyrelsens värdepyramid för bedömning av skog med höga naturvärden och indikerar alltid skyddsvärda kalkgranskogar med höga naturvärden. Svampen tål inte slutavverkning och lokaler med gul lammticka bör skyddas som biotopskyddsområden eller naturreservat och lämnas för fri utveckling (SLU Artdatabanken, 2024; Nitare &amp; Skogsstyrelsen, 2019).</w:t>
      </w:r>
    </w:p>
    <w:p>
      <w:r>
        <w:rPr>
          <w:b/>
        </w:rPr>
        <w:t xml:space="preserve">Kopparspindling (VU) </w:t>
      </w:r>
      <w:r>
        <w:t>bildar mykorrhiza med tall och gran i äldre ängsgranskog på kalkrik mark, mer sällan i ren kalktallskog.</w:t>
      </w:r>
      <w:r>
        <w:rPr>
          <w:b/>
        </w:rPr>
        <w:t xml:space="preserve"> </w:t>
      </w:r>
      <w:r>
        <w:t>Minskningstakten uppgår till 30 % inom 50 år och överstiger gränsvärdet för Sårbar (VU) enligt A-kriteriet. (A2c+3c+4c).</w:t>
      </w:r>
      <w:r>
        <w:rPr>
          <w:b/>
        </w:rPr>
        <w:t xml:space="preserve"> </w:t>
      </w:r>
      <w:r>
        <w:t>Intensivt skogsbruk, särskilt kalavverkning och markberedning missgynnar arten och lokaler som även hyser ett stort antal andra hotade arter bör helt undantas från skogsbruk.</w:t>
      </w:r>
      <w:r>
        <w:rPr>
          <w:b/>
        </w:rPr>
        <w:t xml:space="preserve"> </w:t>
      </w:r>
      <w:r>
        <w:t>Kopparspindling är globalt rödlistad som nära hotad (NT) vilket innebär att Sverige har ett internationellt ansvar för arten (SLU Artdatabanken, 2024; IUCN, 2015).</w:t>
      </w:r>
    </w:p>
    <w:p>
      <w:r>
        <w:rPr>
          <w:b/>
        </w:rPr>
        <w:t>Kungsspindling (NT)</w:t>
      </w:r>
      <w:r>
        <w:t xml:space="preserve"> växer på näringsrikare, helst kalkhaltig mark, nästan alltid i barrskog, där den bildar mykorrhiza med gran och tall, mera sällan insprängd hassel. Förekommer sällsynt även i rik lövskog. Minskningstakten uppgår till 15 % inom 50 år och bedöms vara nära gränsvärdet för Sårbar (VU). (A2c+3c+4c). Kalavverkningar måste helt undvikas på lokaler med kungsspindling (SLU Artdatabanken, 2024).</w:t>
      </w:r>
    </w:p>
    <w:p>
      <w:r>
        <w:rPr>
          <w:b/>
          <w:i/>
        </w:rPr>
        <w:t xml:space="preserve">Leptoporus erubescens </w:t>
      </w:r>
      <w:r>
        <w:rPr>
          <w:b/>
        </w:rPr>
        <w:t>(NT)</w:t>
      </w:r>
      <w:r>
        <w:t xml:space="preserve"> är tallens kötticka och har ofta ett mer resupinat växtsätt än den granlevande köttickan </w:t>
      </w:r>
      <w:r>
        <w:rPr>
          <w:i/>
        </w:rPr>
        <w:t>Leptoporus mollis</w:t>
      </w:r>
      <w:r>
        <w:t>. Artens förekomstarea och utbredning i Sverige är inte känd, men utifrån de fynd som rapporteras av kötticka på tall verkar den vara mer ovanlig än den granlevande. Den totala populationen bedöms därför ha minskat under de senaste 30 åren och fortsätter att minska i takt med att kontinuitetsskogar (skogar som inte kalavverkats) minskar i areal, samtidigt som att lämpliga miljöer inte återskapas i samma takt. Minskningstakten för den svenska populationen bedöms vara nära gränsvärdet för Sårbar (VU). (A2c+3c+4c) (SLU Artdatabanken, 2024; Nitare &amp; Skogsstyrelsen,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Såpfingersvamp (NT) </w:t>
      </w:r>
      <w:r>
        <w:t>är en sällsynt ”toppart” som bildar mykorrhiza med gran i kalkbarrskog, sällsynt även med ek, hassel och bok i kalkrik ädellövskog. Status i landet något oklar men eftersökt och uppenbarligen mycket ovanlig och med liten förekomstarea. All form av skogsavverkning i eller i närheten av växtplatsen som kan påverka lokalens mikroklimat utgör ett hot. Växtplatserna bör skyddas och arten bör eftersökas på nya lokaler i såväl kalkgranskogar som rika ädellövskogar i södra Sverige. Såpfingersvamp är placerad högst upp i Skogsstyrelsens värdepyramid för bedömning av skog med höga naturvärden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