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34045-2023 i Norrtälje kommun</w:t>
      </w:r>
    </w:p>
    <w:p>
      <w:r>
        <w:t>Detta dokument behandlar höga naturvärden i avverkningsanmälan A 34045-2023 i Norrtälje kommun. Denna avverkningsanmälan inkom 2023-07-28 00:00:00 och omfattar 9,2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56 naturvårdsarter hittats: ask (EN), duvspindling (VU), dysterspindling (VU), fjällfotad fingersvamp (VU), fläckfingersvamp (VU), grangråticka (VU), granrotsspindling (VU), gul lammticka (VU), gyllenfingersvamp (VU), koppartaggsvamp (VU), lakritsmusseron (VU), läderdoftande fingersvamp (VU), roslagsfingersvamp (VU), violettfläckig spindling (VU), violgubbe (VU), bittermusseron (NT), blek fingersvamp (NT), dofttaggsvamp (NT), flattoppad klubbsvamp (NT), grantaggsvamp (NT), granticka (NT), gul taggsvamp (NT), gultoppig fingersvamp (NT), Hapalopilus aurantiacus (NT), kungsspindling (NT), odörspindling (NT), orange taggsvamp (NT), persiljespindling (NT), rosenticka (NT), slåtterfibbla (NT), spillkråka (NT, §4), såpfingersvamp (NT), ullticka (NT), äggspindling (NT), anisspindling (S), brandticka (S), bronshjon (S), fjällig taggsvamp s.str. (S), guldkremla (S), hagfingersvamp (S), kryddspindling (S), nästrot (S, §8), olivspindling (S), Ramaria flavoides (S), Ramaria neoformosa (S), rödgul trumpetsvamp (S), skarp dropptaggsvamp (S), skogsknipprot (S, §8), spetsvaxing (S), svavelriska (S), tjockfotad fingersvamp (S), trådticka (S), vedticka (S), vågbandad barkbock (S), zontaggsvamp (S) och blåsippa (§9). Av dessa är 34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9494"/>
            <wp:docPr id="1" name="Picture 1"/>
            <wp:cNvGraphicFramePr>
              <a:graphicFrameLocks noChangeAspect="1"/>
            </wp:cNvGraphicFramePr>
            <a:graphic>
              <a:graphicData uri="http://schemas.openxmlformats.org/drawingml/2006/picture">
                <pic:pic>
                  <pic:nvPicPr>
                    <pic:cNvPr id="0" name="A 34045-2023 karta.png"/>
                    <pic:cNvPicPr/>
                  </pic:nvPicPr>
                  <pic:blipFill>
                    <a:blip r:embed="rId16"/>
                    <a:stretch>
                      <a:fillRect/>
                    </a:stretch>
                  </pic:blipFill>
                  <pic:spPr>
                    <a:xfrm>
                      <a:off x="0" y="0"/>
                      <a:ext cx="5486400" cy="46694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6634798, E 705903 i SWEREF 99 TM.</w:t>
      </w:r>
    </w:p>
    <w:p>
      <w:r>
        <w:rPr>
          <w:b/>
        </w:rPr>
        <w:t>Bittermusseron (NT)</w:t>
      </w:r>
      <w:r>
        <w:t xml:space="preserve"> är en kalkgynnad och värmeälskande förnasvamp som påträffas i äldre kalkbarrskogar, gärna på relativt torr mark. Virkesrika, äldre barrskogar med hög bonitet, på bättre jordar är en bristvara i befintliga, skyddade områden i Sverige. Därför måste fler örtrika barrskogar, särskilt de med trädkontinuitet, skyddas i större utsträckning än vad som tidigare gjorts. Uttag av skog ska helst göras genom plockhuggning, blädning eller andra alternativa, skonsamma avverkningsformer (SLU Artdatabanken, 2024; Nitare &amp; Skogsstyrelsen, 2019).</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Fjällfotad fingersvamp (VU) </w:t>
      </w:r>
      <w:r>
        <w:t>är en mycket sällsynt ”toppart” som</w:t>
      </w:r>
      <w:r>
        <w:rPr>
          <w:b/>
        </w:rPr>
        <w:t xml:space="preserve"> </w:t>
      </w:r>
      <w:r>
        <w:t>bildar mykorrhiza med gran i kalkbarrskog. Då arten förekommer i en produktiv skogsmiljö med långvarig trädkontinuitet bedöms svampens totala population ha minskat kraftigt under senare tid som följd av skogsbruksåtgärder. Samtliga växtplatser bör erhålla ett långsiktigt formellt skydd. Fjällfotad fingersvamp</w:t>
      </w:r>
      <w:r>
        <w:rPr>
          <w:b/>
        </w:rPr>
        <w:t xml:space="preserve"> </w:t>
      </w:r>
      <w:r>
        <w:t>är placerad högst upp i Skogsstyrelsens värdepyramid för bedömning av skog med höga naturvärden och globalt rödlistad som nära hotad (NT) vilket innebär att Sverige har ett internationellt ansvar för arten (SLU Artdatabanken, 2024; IUCN, 2019;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Kungsspindling (NT)</w:t>
      </w:r>
      <w:r>
        <w:t xml:space="preserve"> växer på näringsrikare, helst kalkhaltig mark, nästan alltid i barrskog, där den bildar mykorrhiza med gran och tall, mera sällan insprängd hassel. Förekommer sällsynt även i rik lövskog. Minskningstakten uppgår till 15 % inom 50 år och bedöms vara nära gränsvärdet för Sårbar (VU). (A2c+3c+4c). Kalavverkningar måste helt undvikas på lokaler med kungsspindling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i/>
        </w:rPr>
        <w:t xml:space="preserve">Ramaria flavoides </w:t>
      </w:r>
      <w:r>
        <w:t>är en ofullständigt utredd art (eller artgrupp) som huvudsakligen är knuten till frisk eller något fuktig kalkgranskog av lågörtstyp där den bildar ektomykorrhiza med gran. Den är dock även påträffad i bokskog på kalkrik mark och bildar då mykorrhiza med bok. Slutavverkning, gödsling eller exploatering måste undvikas och lokalerna skyddas. Arten är placerad högst upp i Skogsstyrelsens värdepyramid för bedömning av skog med höga naturvärden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Roslagsfingersvamp (VU) </w:t>
      </w:r>
      <w:r>
        <w:t>är en mycket sällsynt ”toppart” som bildar mykorrhiza med gran i kalkrik barrskog. All form av skogsavverkning i eller i närheten av växtplatsen missgynnar arten. Dess koppling till produktiva äldre granskogar med hög bonitet gör den särskilt utsatt för slutavverkning. Samtliga lokaler bör undantas från rationellt skogsbruk och få ett områdesskydd. Arten är placerad högst upp i Skogsstyrelsens värdepyramid för bedömning av skog med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Äggspindling (NT) </w:t>
      </w:r>
      <w:r>
        <w:t>bildar mykorrhiza med gran i äldre ängsgranskog på kalkrik mark och kräver sannolikt lång kontinuitet av äldre träd. Arten bedöms ha minskat med mer än 15 % över de senaste 50 åren, p.g.a. slutavverkning av äldre skog och minskningstakten för den svenska populationen bedöms vara nära gränsvärdet för Sårbar (VU). (A2c+3c+4c). På artens växtplatser måste skogsbruk ske med stor försiktighet eftersom de ofta innehåller ett stort antal sällsynta och hotade arter. Lokaler med rika förekomster bör betraktas som nyckelbiotoper och helt undantas från avverkning. Äggspindling är globalt rödlistad som nära hotad (NT) vilket innebär att Sverige har ett internationellt ansvar för arten (SLU Artdatabanken, 2024; Nitare &amp; Skogsstyrelsen, 2019; IUCN, 2019).</w:t>
      </w:r>
    </w:p>
    <w:p>
      <w:pPr>
        <w:pStyle w:val="Heading1"/>
      </w:pPr>
      <w:r>
        <w:t>Fridlysta arter</w:t>
      </w:r>
    </w:p>
    <w:p>
      <w:r>
        <w:t>Följande fridlysta arter har sina livsmiljöer och växtplatser i den avverkningsanmälda skogen: spillkråka (NT, §4), nästrot (S, §8), skogsknipprot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