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52797-2023 i Norrtälje kommun</w:t>
      </w:r>
    </w:p>
    <w:p>
      <w:r>
        <w:t>Detta dokument behandlar höga naturvärden i avverkningsanmälan A 52797-2023 i Norrtälje kommun. Denna avverkningsanmälan inkom 2023-10-27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läderdoftande fingersvamp (VU), vågticka (VU), granticka (NT), grön aspvedbock (NT), spillkråka (NT, §4), tallticka (NT), ullticka (NT), vit vedfingersvamp (NT), fjällig taggsvamp s.str. (S), grovticka (S), grönpyrola (S), hasselticka (S), olivspindling (S), rödgul trumpetsvamp (S), skarp dropptaggsvamp (S), svart trolldruva (S), tallfingersvamp (S), vågbandad barkbock (S), vårärt (S), nattviol (§8) och blåsippa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1910"/>
            <wp:docPr id="1" name="Picture 1"/>
            <wp:cNvGraphicFramePr>
              <a:graphicFrameLocks noChangeAspect="1"/>
            </wp:cNvGraphicFramePr>
            <a:graphic>
              <a:graphicData uri="http://schemas.openxmlformats.org/drawingml/2006/picture">
                <pic:pic>
                  <pic:nvPicPr>
                    <pic:cNvPr id="0" name="A 52797-2023 karta.png"/>
                    <pic:cNvPicPr/>
                  </pic:nvPicPr>
                  <pic:blipFill>
                    <a:blip r:embed="rId16"/>
                    <a:stretch>
                      <a:fillRect/>
                    </a:stretch>
                  </pic:blipFill>
                  <pic:spPr>
                    <a:xfrm>
                      <a:off x="0" y="0"/>
                      <a:ext cx="5486400" cy="4111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6644146, E 696352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Grön aspvedbock (NT)</w:t>
      </w:r>
      <w:r>
        <w:t xml:space="preserve"> är en skalbagge vars larvutveckling sker under tjock bark på nyligen döda stammar och grova grenar (&gt;5 cm diameter) av lövträd, i Sverige nästan uteslutande asp. Främsta hotet är bristen på gammal aspskog. Skogsbruket har under lång tid missgynnat asp, och det är idag på många håll ovanligt med gamla lövrika skogar. Inom skogsbruket bör man spara aspar vid röjning, gallring och slutavverkning, och därmed få andelen lövskog att öka i hela skogslandskapet. Bruket att ringbarka gamla aspar för att motverka rotskott bör upphöra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 vedfingersvamp (NT)</w:t>
      </w:r>
      <w:r>
        <w:t xml:space="preserve"> växer på murken lövved, främst grova och barklösa asplågor. Svampen indikerar sena aspsuccessioner inom områden med konstant hög luftfuktighet. Raviner, bergrötter och liknande platser med skuggiga förhållanden och fuktig mark med ett stort inslag av lövträd är exempel på biotoper där vit vedfingersvamp ofta växer och dessa bör undantas från skogsbruk (SLU Artdatabanken, 2024; Nitare &amp; Skogsstyrelsen, 2019).</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spillkråka (NT, §4), nattviol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