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9144-2021 i Norrtälje kommun</w:t>
      </w:r>
    </w:p>
    <w:p>
      <w:r>
        <w:t>Detta dokument behandlar höga naturvärden i avverkningsanmälan A 9144-2021 i Norrtälje kommun. Denna avverkningsanmälan inkom 2021-02-22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skogsalm (CR), aspfjädermossa (VU), grangråticka (VU), koppartaggsvamp (VU), svartfjällig musseron (VU), granticka (NT), järpe (NT, §4), kungsspindling (NT), orange taggsvamp (NT), ullticka (NT), bronshjon (S), bårdlav (S), fjällig taggsvamp s.str. (S), grov fjädermossa (S), grön sköldmossa (S, §8), mörk husmossa (S), platt fjädermossa (S), rävticka (S), skogshakmossa (S), stubbspretmossa (S), svavelriska (S), tibast (S), vedticka (S), vätteros (S), vårärt (S) och blåsippa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9144-2021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6615195, E 695472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Svartfjällig musseron (VU)</w:t>
      </w:r>
      <w:r>
        <w:t xml:space="preserve"> är en sällsynt art som bildar mykorrhiza med gran på kalkrik mark. För att klara arten på sikt bör fler områden med granskog på kalkrik mark skyddas, särskilt i södra Sverige även om de är små. Växtplatser för denna art är alltid skyddsvärda eftersom de vanligen också innehåller många andra rödlistade svampar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järpe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