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9144-2021 i Norrtälje kommun</w:t>
      </w:r>
    </w:p>
    <w:p>
      <w:r>
        <w:t>Detta dokument behandlar höga naturvärden i avverkningsanmälan A 9144-2021 i Norrtälje kommun. Denna avverkningsanmälan inkom 2021-02-22 00:00:00 och omfattar 11,8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26 naturvårdsarter hittats: skogsalm (CR), aspfjädermossa (VU), grangråticka (VU), koppartaggsvamp (VU), svartfjällig musseron (VU), granticka (NT), järpe (NT, §4), kungsspindling (NT), orange taggsvamp (NT), ullticka (NT), bronshjon (S), bårdlav (S), fjällig taggsvamp s.str. (S), grov fjädermossa (S), grön sköldmossa (S, §8), mörk husmossa (S), platt fjädermossa (S), rävticka (S), skogshakmossa (S), stubbspretmossa (S), svavelriska (S), tibast (S), vedticka (S), vätteros (S), vårärt (S) och blåsippa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8751"/>
            <wp:docPr id="1" name="Picture 1"/>
            <wp:cNvGraphicFramePr>
              <a:graphicFrameLocks noChangeAspect="1"/>
            </wp:cNvGraphicFramePr>
            <a:graphic>
              <a:graphicData uri="http://schemas.openxmlformats.org/drawingml/2006/picture">
                <pic:pic>
                  <pic:nvPicPr>
                    <pic:cNvPr id="0" name="A 9144-2021 karta.png"/>
                    <pic:cNvPicPr/>
                  </pic:nvPicPr>
                  <pic:blipFill>
                    <a:blip r:embed="rId16"/>
                    <a:stretch>
                      <a:fillRect/>
                    </a:stretch>
                  </pic:blipFill>
                  <pic:spPr>
                    <a:xfrm>
                      <a:off x="0" y="0"/>
                      <a:ext cx="5486400" cy="5648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6615195, E 695472 i SWEREF 99 TM.</w:t>
      </w:r>
    </w:p>
    <w:p>
      <w:r>
        <w:rPr>
          <w:b/>
        </w:rPr>
        <w:t>Aspfjädermossa (VU)</w:t>
      </w:r>
      <w:r>
        <w:t xml:space="preserve"> är knuten till gamla skogar, framförallt på näringsrik, högproduktiv mark där den växer på bark av främst ask, lönn och asp. Arten är placerad högst upp i Skogsstyrelsens värdepyramid för bedömning av skog med höga naturvärden. Samtliga lokaler måste ges ett ändamålsenligt skydd och ett urval förekomster bör övervakas för att följa populationens status (SLU Artdatabanken, 2024; Nitare &amp; Skogsstyrelsen, 2019).</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Grov fjädermossa </w:t>
      </w:r>
      <w:r>
        <w:t>påträffas i gammal ädellövskog och på kalkrika bergväggar i äldre barrskog. Arten är placerad högst upp i Skogsstyrelsens värdepyramid för bedömning av skog med höga naturvärden och visar på lokaler som haft lång trädkontinuitet och stabilt mikroklimat (Nitare &amp; Skogsstyrelsen, 2019).</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p>
      <w:r>
        <w:rPr>
          <w:b/>
        </w:rPr>
        <w:t>Kungsspindling (NT)</w:t>
      </w:r>
      <w:r>
        <w:t xml:space="preserve"> växer på näringsrikare, helst kalkhaltig mark, nästan alltid i barrskog, där den bildar mykorrhiza med gran och tall, mera sällan insprängd hassel. Förekommer sällsynt även i rik lövskog. Minskningstakten uppgår till 15 % inom 50 år och bedöms vara nära gränsvärdet för Sårbar (VU). (A2c+3c+4c). Kalavverkningar måste helt undvikas på lokaler med kungsspindling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Svartfjällig musseron (VU)</w:t>
      </w:r>
      <w:r>
        <w:t xml:space="preserve"> är en sällsynt art som bildar mykorrhiza med gran på kalkrik mark. För att klara arten på sikt bör fler områden med granskog på kalkrik mark skyddas, särskilt i södra Sverige även om de är små. Växtplatser för denna art är alltid skyddsvärda eftersom de vanligen också innehåller många andra rödlistade svampar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järpe (NT, §4), grön sköldmossa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