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31462-2023 i Norrtälje kommun</w:t>
      </w:r>
    </w:p>
    <w:p>
      <w:r>
        <w:t>Detta dokument behandlar höga naturvärden i avverkningsanmälan A 31462-2023 i Norrtälje kommun. Denna avverkningsanmälan inkom 2023-07-07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ängsstarr (NT), gräsull (S), skogsknipprot (S, §8), terpentinmossa (S), vågbandad barkbock (S), gröngöling (§4), vanlig groda (§6), kärrknipprot (§8), ängsnycklar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31462-2023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6617222, E 696597 i SWEREF 99 TM.</w:t>
      </w:r>
    </w:p>
    <w:p>
      <w:pPr>
        <w:pStyle w:val="Heading1"/>
      </w:pPr>
      <w:r>
        <w:t>Fridlysta arter</w:t>
      </w:r>
    </w:p>
    <w:p>
      <w:r>
        <w:t>Följande fridlysta arter har sina livsmiljöer och växtplatser i den avverkningsanmälda skogen: skogsknipprot (S, §8), gröngöling (§4), vanlig groda (§6), kärrknipprot (§8), ängsnycklar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