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32244-2020 i Norrtälje kommun</w:t>
      </w:r>
    </w:p>
    <w:p>
      <w:r>
        <w:t>Detta dokument behandlar höga naturvärden i avverkningsanmälan A 32244-2020 i Norrtälje kommun. Denna avverkningsanmälan inkom 2020-07-03 och omfattar 27,5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26 naturvårdsarter hittats: koppartaggsvamp (VU), läderdoftande fingersvamp (VU), violgubbe (VU), blek fingersvamp (NT), granticka (NT), gultoppig fingersvamp (NT), spillkråka (NT, §4), svart taggsvamp (NT), tallticka (NT), anisspindling (S), brandticka (S), bronshjon (S), fjällig taggsvamp s.str. (S), granbarkgnagare (S), grön sköldmossa (S, §8), kattfotslav (S), nästrot (S, §8), olivspindling (S), skarp dropptaggsvamp (S), skogsknipprot (S, §8), svavelriska (S), sårläka (S), tibast (S), trådticka (S), vårärt (S) och blåsippa (§9). Av dessa är 9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52408"/>
            <wp:docPr id="1" name="Picture 1"/>
            <wp:cNvGraphicFramePr>
              <a:graphicFrameLocks noChangeAspect="1"/>
            </wp:cNvGraphicFramePr>
            <a:graphic>
              <a:graphicData uri="http://schemas.openxmlformats.org/drawingml/2006/picture">
                <pic:pic>
                  <pic:nvPicPr>
                    <pic:cNvPr id="0" name="A 32244-2020 karta.png"/>
                    <pic:cNvPicPr/>
                  </pic:nvPicPr>
                  <pic:blipFill>
                    <a:blip r:embed="rId16"/>
                    <a:stretch>
                      <a:fillRect/>
                    </a:stretch>
                  </pic:blipFill>
                  <pic:spPr>
                    <a:xfrm>
                      <a:off x="0" y="0"/>
                      <a:ext cx="5486400" cy="435240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6646721, E 716886 i SWEREF 99 TM.</w:t>
      </w:r>
    </w:p>
    <w:p>
      <w:r>
        <w:rPr>
          <w:b/>
        </w:rPr>
        <w:t xml:space="preserve">Blek fingersvamp (NT) </w:t>
      </w:r>
      <w:r>
        <w:t>bildar mykorrhiza med dels gran i ängsgranskog men även under bok, ek och avenbok i ädellövskog. Arten är känslig för olika skogsbruksåtgärder och därför på tillbakagång såväl i Sverige som i andra europeiska länder. Arten hotas främst av slutavverkning och andra skogsbruksåtgärder. Arten tål inte en slutavverkning och sannolikt inte heller en kraftig gallring. Skogsområden med arten bör undantas från storskaligt skogsbruk. Slutavverkning, kraftig gallring och skogsgödsling måste helt undvikas, liksom körning med tunga maskiner (SLU Artdatabanken, 2024; Nitare &amp; Skogsstyrelsen, 2019).</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Gultoppig fingersvamp (NT)</w:t>
      </w:r>
      <w:r>
        <w:t xml:space="preserve"> bildar mykorrhiza med gran i örtrik äldre barrskog. Den är något kalkgynnad och föredrar bördiga granskogar av lågörtstyp. Svampen hotas främst av skogsavverkning och tycks försvinna efter slutavverkning, markberedning och plantering. Skogsområden med arten bör undantas från storskaligt skogsbruk. Slutavverkning, kraftig gallring och skogsgödsling måste undvikas, liksom körning med tunga maskiner (SLU Artdatabanken, 2024).</w:t>
      </w:r>
    </w:p>
    <w:p>
      <w:r>
        <w:rPr>
          <w:b/>
        </w:rPr>
        <w:t xml:space="preserve">Koppartaggsvamp (VU) </w:t>
      </w:r>
      <w:r>
        <w:t>bildar mykorrhiza med gran i örtrik äldre granskog på kalkrik mark. Arten är en mycket bra indikator på skyddsvärda kalkgranskogar och påfallande ofta växer den tillsammans med raggtaggsvamp (EN). Arten ingår i ett åtgärdsprogram för hotade arter (ÅGP) och dess långsiktiga överlevnad säkras genom att växtplatserna undantas från avverkning (SLU Artdatabanken, 2024; Nitare &amp; Skogsstyrelsen, 2019).</w:t>
      </w:r>
    </w:p>
    <w:p>
      <w:r>
        <w:rPr>
          <w:b/>
        </w:rPr>
        <w:t xml:space="preserve">Läderdoftande fingersvamp (VU) </w:t>
      </w:r>
      <w:r>
        <w:t>bildar mykorrhiza med gran i örtrik äldre barrskog, ofta på kalkrik mark. Den har en speciell doft som kan påminna om nytt skoläder (skoaffär), därav det svenska namnet. Den totala populationen i landet bedöms ändå ha minskat starkt och fortsatt kommer att minska då arten är knuten till en bördig äldre kalkgranskogsmiljö som successivt avverkas och där få områden alltjämt är formellt skyddade. All form av hårdhänt skogsavverkning på eller i närheten av växtplatsen missgynnar arten. Artens huvudsakliga koppling till produktiva äldre granskogar med hög bonitet gör den särskilt utsatt för slutavverkning. Samtliga lokaler bör undantas från rationellt skogsbruk och få ett områdesskydd (SLU Artdatabanken, 2024; Nitare &amp; Skogsstyrelsen, 2019).</w:t>
      </w:r>
    </w:p>
    <w:p>
      <w:r>
        <w:rPr>
          <w:b/>
        </w:rPr>
        <w:t>Olivspindling</w:t>
      </w:r>
      <w:r>
        <w:t xml:space="preserve"> växer uteslutande på näringsrik och kalkhaltig skogsmark där den huvudsakligen bildar mykorrhiza med gran och tall. Svampen är en typisk representant för kalkgranskogens särpräglade och rika svampflora. Kalavverkning är ett hot mot arten, eftersom den sannolikt kräver lång kontinuitet av äldre träd. Populationerna i landet bedöms därför minska beroende på slutavverkning av äldre barrskog på kalkhaltig mark (SLU Artdatabanken, 2024; Nitare &amp; Skogsstyrelsen, 2019).</w:t>
      </w:r>
    </w:p>
    <w:p>
      <w:r>
        <w:rPr>
          <w:b/>
        </w:rPr>
        <w:t xml:space="preserve">Svart taggsvamp (NT) </w:t>
      </w:r>
      <w:r>
        <w:t>bildar huvudsakligen mykorrhiza med gran och tall, men även med ek och bok. Slutavverkning utgör det största hotet mot arten och den överlever sannolikt inte en föryngringshuggning då barrträdens rötter dör efter avverkningen. Förekomsterna i barrskog är särskilt utsatta eftersom arten föredrar att växa i äldre, virkesrika skogar med högre bonitet, som avverkas i rask takt. Fler äldre, virkesrika barrskogar med högre bonitet måste formellt skyddas som biotopskyddsområden eller naturreservat. Även oskyddade växtplatser i lövskogsbiotoper bör få ett starkt skydd. Skogsområden med svart taggsvamp bör inte gallras eller plockhuggas om inte huggningen efterföljs av skogsbete (SLU Artdatabanken, 2024).</w:t>
      </w:r>
    </w:p>
    <w:p>
      <w:r>
        <w:rPr>
          <w:b/>
        </w:rPr>
        <w:t>Sårläka</w:t>
      </w:r>
      <w:r>
        <w:t xml:space="preserve"> växer på mullrik mark i skuggiga eller halvskuggiga lövskogar och lundar men också i örtrika kalkbarrskogar. Arten ingår i en exklusiv lundflora som bara uppträder i de allra rikaste kalkbarrskogarna söder om den biologiska norrlandsgränsen. I ädellövskogar och lundar är den också knuten till områden med en mycket rik mångfald av naturvårdsarter. Sårläka är värdväxt för den rödlistade fjärilen sårläkeplattmal (NT) (SLU Artdatabanken, 2024; Nitare &amp; Skogsstyrelsen, 2019).</w:t>
      </w:r>
    </w:p>
    <w:p>
      <w:r>
        <w:rPr>
          <w:b/>
        </w:rPr>
        <w:t xml:space="preserve">Tallticka (NT) </w:t>
      </w:r>
      <w:r>
        <w:t>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(SLU Artdatabanken, 2023; Nitare &amp; Skogsstyrelsen, 2019).</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värdväxt för de två fjärilsarterna större tibastmal och brun tibastmal (CR) (SLU Artdatabanken, 2024; Nitare &amp; Skogsstyrelsen, 2019).</w:t>
      </w:r>
    </w:p>
    <w:p>
      <w:r>
        <w:rPr>
          <w:b/>
        </w:rPr>
        <w:t>Violgubbe (VU)</w:t>
      </w:r>
      <w:r>
        <w:t xml:space="preserve"> bildar mykorrhiza med gran och bok och ev. andra trädslag i ängsgran- och ängsbokskog på kalkrik mark. Arten är placerad högst upp i Skogsstyrelsens värdepyramid för bedömning av skog med höga naturvärden och indikerar alltid skogsområden med höga naturvärden. Det största hotet mot arten är skogsavverkning och den omfattas av ett åtgärdsprogram för hotade arter (ÅGP). Violgubben överlever inte en slutavverkning och verkar dessutom ha svårt att etablera sig i yngre skogsbestånd (SLU Artdatabanken, 2024; Nitare &amp; Skogsstyrelsen, 2019; Aronsson, 2006).</w:t>
      </w:r>
    </w:p>
    <w:p>
      <w:r>
        <w:rPr>
          <w:b/>
        </w:rPr>
        <w:t>Vårärt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rationella skogsbruksmetoder (Nitare &amp; Skogsstyrelsen, 2019).</w:t>
      </w:r>
    </w:p>
    <w:p>
      <w:pPr>
        <w:pStyle w:val="Heading1"/>
      </w:pPr>
      <w:r>
        <w:t>Fridlysta arter</w:t>
      </w:r>
    </w:p>
    <w:p>
      <w:r>
        <w:t>Följande fridlysta arter har sina livsmiljöer och växtplatser i den avverkningsanmälda skogen: spillkråka (NT, §4), grön sköldmossa (S, §8), nästrot (S, §8), skogsknipprot (S, §8) och blåsippa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Grön sköldmossa (§8)</w:t>
      </w:r>
      <w:r>
        <w:t xml:space="preserve"> omfattas av EU:s art- och habitatdirektiv bilaga 2 vilket innebär att det är en prioriterad art och att det finns ett uttalat intresse inom Europeiska unionen att bevara arten. Grön sköldmossa kräver skog som har ett speciellt mikroklimat med hög och jämn luftfuktighet i kombination med rik tillgång på död ved (Nitare, 2019).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Grön sköldmossa – ekologi samt krav på livsmiljön</w:t>
      </w:r>
    </w:p>
    <w:p>
      <w:r>
        <w:t>Grön sköldmossa, fridlyst enligt 8§ artskyddsförordningen, växer på stubbar och lågor av olika trädslag, huvudsakligen i sena nedbrytningsstadier och på och mellan grova rötter av levande och döda träd. Den förekommer i Sverige främst i näringsrika granskogar med stort inslag av löv, arten är kortlivad och antalet kapslar varierar kraftigt mellan olika år (SLU Artdatabanken, 2021). Grön sköldmossa kräver skog som har ett speciellt mikroklimat med hög och jämn luftfuktighet i kombination med rik tillgång på död ved (Nitare, 2019). I praktiken handlar det om åtminstone 50 meter med skyddande skog för att undvika uttorkning av marken (Hallingbäck, personligt meddelande 2022-02-24).</w:t>
      </w:r>
    </w:p>
    <w:p>
      <w:r>
        <w:t>Arten har sin huvudutbredning i sydöstra Sverige (SLU Artdatabanken, 2021). Allvarligaste hoten mot arten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w:t>
      </w:r>
    </w:p>
    <w:p>
      <w:r>
        <w:t>Grön sköldmossa är upptagen i EU:s Habitatdirektiv bilaga 2 vilket innebär att det är en prioriterad art och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Grön sköldmossa är typisk art för 9010 Taiga och 9750 Svämlövskog (Natura 2000) och omfattas även av Bernkonventionen bilaga 1.</w:t>
      </w:r>
    </w:p>
    <w:p>
      <w:r>
        <w:t>Fridlysningen enligt §§ 8 och 15 Artskyddsförordningen innebär att det är förbjudet att på något sätt skada exemplar av arten. Artskyddsförordning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1 till fågeldirektivet eller bilaga 2 till art- och habitatdirektivet.</w:t>
      </w:r>
    </w:p>
    <w:p>
      <w:r>
        <w:t>Mark- och miljööverdomstolen (MÖD) har i mål nr M 2019-20 (18 februari 2019) slagit fast att grön sköldmossa (§8) är dispenspliktig och att exemplar av arten inte får skadas utan dispens (MÖD, mål nr M 2019-20).</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 Se nedan.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