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55023-2025 i Norrtälje kommun</w:t>
      </w:r>
    </w:p>
    <w:p>
      <w:r>
        <w:t>Detta dokument behandlar höga naturvärden i avverkningsanmälan A 55023-2025 i Norrtälje kommun. Denna avverkningsanmälan inkom 2025-11-06 00:00:00 och omfattar 29,8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71 naturvårdsarter hittats: skogsalm (CR), ask (EN), apelticka (VU), Blastenia relicta (VU), blåfotad fagerspindling (VU), davidmusseron (VU), duvspindling (VU), granrotspindling (VU), gul lammticka (VU), knärot (VU, §8), kopparspindling (VU), läderdoftande fingersvamp (VU), rosetticka (VU), sotbandad spindling (VU), vedlavklubba (VU), vågticka (VU), barrviolspindling (NT), flattoppad klubbsvamp (NT), jättespindling (NT), koralltaggsvamp (NT), kärrvaxskinn (NT), leopardsköldbagge (NT), lunglav (NT), motaggsvamp (NT), odörspindling (NT), puderspindling (NT), reliktbock (NT), scharlakansvaxing (NT), slåtterfibbla (NT), småflikig brosklav (NT), svart taggsvamp agg. (NT), ullticka (NT), vedskivlav (NT), vit vedfingersvamp (NT), äggspindling (NT), anisspindling (S), barkticka (S), björksplintborre (S), blodvaxing (S), brandmusseron (S), brun klibbskivling (S), diskvaxskivling (S), fjällig taggsvamp s.str. (S), guckusko (S, §7), gulfotsskölding (S), honungsvaxing (S), jättesvampmal (S), nästrot (S, §8), olivspindling (S), rävticka (S), rödfläckig zontaggsvamp (S), rödgul trumpetsvamp (S), skarp dropptaggsvamp (S), skogsknipprot (S, §8), stor aspticka (S), strimspindling (S), strävlosta (S), stubbspretmossa (S), svart trolldruva (S), svavelriska (S), sårläka (S), tibast (S), tjockfotad fingersvamp (S), toppvaxing (S), trådticka (S), underviol (S), vitvaxing agg. (S), vårärt (S), zontaggsvamp (S), åderskölding (S) och åttafläckig praktbagge (S). Av dessa är 35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55023-2025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6670579, E 707071 i SWEREF 99 TM.</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Davidmusseron (EN)</w:t>
      </w:r>
      <w:r>
        <w:t xml:space="preserve"> är en ytterst sällsynt och starkt hotad art som bildar mykorrhiza med tall eller gran i äldre kalkbarrskog på torr och sandig mark, som kalktallhed och luckig kalkgranskog med historik av skogsbete. Den har mycket få kända förekomster i världen och är placerad högst upp i Skogsstyrelsens värdepyramid för bedömning av skog med höga naturvärden. Arten hotas av alla former av skogsbruksåtgärder och samtliga förekomster kan tolkas som relikter där varje lokal har mycket högt skyddsvärde. Samtliga växtplatser bör få ett långsiktigt skydd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Rävticka</w:t>
      </w:r>
      <w:r>
        <w:t xml:space="preserve"> är typisk art för </w:t>
      </w:r>
      <w:r>
        <w:rPr>
          <w:i/>
        </w:rPr>
        <w:t xml:space="preserve">9010 Taiga </w:t>
      </w:r>
      <w:r>
        <w:t>(SLU Artdatabanken, 2025).</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Sotbandad spindling (EN)</w:t>
      </w:r>
      <w:r>
        <w:t xml:space="preserve"> är en starkt hotad art som bildar mykorrhiza med gran, möjligen även med tall, i äldre örtrik barrskog, gärna grandominerad kalkbarrskog på torr till frisk mark. Arten är placerad högst upp i Skogsstyrelsens värdepyramid för bedömning av skog med höga naturvärden och tål inte kalavverkning eller andra mer radikala ingrepp i växtplatsernas miljö. Kända växtplatser bör tills vidare undantas från skogsbruk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Åderskölding </w:t>
      </w:r>
      <w:r>
        <w:t>växer i blandad ädellövskog på murkna stammar och grenar av lövträd, helst bok och ask. Ibland även på starkt murkna vedrester och förna intill grova träd. Arten är placerad högst upp i Skogsstyrelsens värdepyramid för bedömning av skog med höga naturvärden (SLU Artdatabanken, 2024; Nitare &amp; Skogsstyrelsen, 2019).</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Fridlysta arter</w:t>
      </w:r>
    </w:p>
    <w:p>
      <w:r>
        <w:t>Följande fridlysta arter har sina livsmiljöer och växtplatser i den avverkningsanmälda skogen: knärot (VU, §8), guckusko (S, §7), nästrot (S, §8) och skogsknipprot (S,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428920"/>
            <wp:docPr id="2" name="Picture 2"/>
            <wp:cNvGraphicFramePr>
              <a:graphicFrameLocks noChangeAspect="1"/>
            </wp:cNvGraphicFramePr>
            <a:graphic>
              <a:graphicData uri="http://schemas.openxmlformats.org/drawingml/2006/picture">
                <pic:pic>
                  <pic:nvPicPr>
                    <pic:cNvPr id="0" name="A 55023-2025 karta knärot.png"/>
                    <pic:cNvPicPr/>
                  </pic:nvPicPr>
                  <pic:blipFill>
                    <a:blip r:embed="rId17"/>
                    <a:stretch>
                      <a:fillRect/>
                    </a:stretch>
                  </pic:blipFill>
                  <pic:spPr>
                    <a:xfrm>
                      <a:off x="0" y="0"/>
                      <a:ext cx="5486400" cy="74289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6670579, E 707071 i SWEREF 99 TM.</w:t>
      </w:r>
    </w:p>
    <w:p>
      <w:pPr>
        <w:pStyle w:val="Caption"/>
      </w:pP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71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71 naturvårdsarter varav 35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