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55023-2025 i Norrtälje kommun</w:t>
      </w:r>
    </w:p>
    <w:p>
      <w:r>
        <w:t>Detta dokument behandlar höga naturvärden i avverkningsanmälan A 55023-2025 i Norrtälje kommun. Denna avverkningsanmälan inkom 2025-11-06 00:00:00 och omfattar 29,8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71 naturvårdsarter hittats: skogsalm (CR), ask (EN), apelticka (VU), Blastenia relicta (VU), blåfotad fagerspindling (VU), davidmusseron (VU), duvspindling (VU), granrotspindling (VU), gul lammticka (VU), knärot (VU, §8), kopparspindling (VU), läderdoftande fingersvamp (VU), rosetticka (VU), sotbandad spindling (VU), vedlavklubba (VU), vågticka (VU), barrviolspindling (NT), flattoppad klubbsvamp (NT), jättespindling (NT), koralltaggsvamp (NT), kärrvaxskinn (NT), leopardsköldbagge (NT), lunglav (NT), motaggsvamp (NT), odörspindling (NT), puderspindling (NT), reliktbock (NT), scharlakansvaxing (NT), slåtterfibbla (NT), småflikig brosklav (NT), svart taggsvamp agg. (NT), ullticka (NT), vedskivlav (NT), vit vedfingersvamp (NT), äggspindling (NT), anisspindling (S), barkticka (S), björksplintborre (S), blodvaxing (S), brandmusseron (S), brun klibbskivling (S), diskvaxskivling (S), fjällig taggsvamp s.str. (S), guckusko (S, §7), gulfotsskölding (S), honungsvaxing (S), jättesvampmal (S), nästrot (S, §8), olivspindling (S), rävticka (S), rödfläckig zontaggsvamp (S), rödgul trumpetsvamp (S), skarp dropptaggsvamp (S), skogsknipprot (S, §8), stor aspticka (S), strimspindling (S), strävlosta (S), stubbspretmossa (S), svart trolldruva (S), svavelriska (S), sårläka (S), tibast (S), tjockfotad fingersvamp (S), toppvaxing (S), trådticka (S), underviol (S), vitvaxing agg. (S), vårärt (S), zontaggsvamp (S), åderskölding (S) och åttafläckig praktbagge (S). Av dessa är 35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4306"/>
            <wp:docPr id="1" name="Picture 1"/>
            <wp:cNvGraphicFramePr>
              <a:graphicFrameLocks noChangeAspect="1"/>
            </wp:cNvGraphicFramePr>
            <a:graphic>
              <a:graphicData uri="http://schemas.openxmlformats.org/drawingml/2006/picture">
                <pic:pic>
                  <pic:nvPicPr>
                    <pic:cNvPr id="0" name="A 55023-2025 karta.png"/>
                    <pic:cNvPicPr/>
                  </pic:nvPicPr>
                  <pic:blipFill>
                    <a:blip r:embed="rId16"/>
                    <a:stretch>
                      <a:fillRect/>
                    </a:stretch>
                  </pic:blipFill>
                  <pic:spPr>
                    <a:xfrm>
                      <a:off x="0" y="0"/>
                      <a:ext cx="5486400" cy="4364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6670579, E 707071 i SWEREF 99 TM.</w:t>
      </w:r>
    </w:p>
    <w:p>
      <w:r>
        <w:rPr>
          <w:b/>
        </w:rPr>
        <w:t xml:space="preserve">Apelticka (VU) </w:t>
      </w:r>
      <w:r>
        <w:t>är en nedbrytare i gamla, levande, skadade, ibland döda, stammar av asp, ask, apel i hagmark, parker, alléer, trädgårdar samt i löv- och blandskog. Arten hotas av avverkning av värdträd och passande värdträd på svampens växtplatser. Även minskad tillgång på asp i skogslandskapet missgynnar arten. I kulturlandskapet måste särskilt gamla aplar och askar bevaras. I skogsmiljö måste fler bestånd med grov asp få möjlighet att fortleva. Vid skötsel av parker och alléer bör träd med den vedrötande apeltickan sparas så länge det är möjligt (SLU Artdatabanken, 2025).</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i/>
        </w:rPr>
        <w:t xml:space="preserve">Blastenia relicta </w:t>
      </w:r>
      <w:r>
        <w:rPr>
          <w:b/>
        </w:rPr>
        <w:t>(NT)</w:t>
      </w:r>
      <w:r>
        <w:t xml:space="preserve"> är en rostorangelav som växer på aspgrenar, men även på stammar på senvuxna, öppet stående träd. I södra Sverige växer den ibland på ädellövträd. Arten har i södra och mellersta Sverige minskat, sannolikt dels p.g.a. att antalet senvuxna aspar i skogsmark blivit färre. Kända lokaler bör skyddas (SLU Artdatabanken, 2026).</w:t>
      </w:r>
    </w:p>
    <w:p>
      <w:r>
        <w:rPr>
          <w:b/>
        </w:rPr>
        <w:t xml:space="preserve">Blåfotad fagerspindling (VU) </w:t>
      </w:r>
      <w:r>
        <w:t>bildar mykorrhiza med barrträd och växer enbart i örtrika äldre grandominerade kalkbarrskogar med lång kontinuitet och hög bonitet, miljöer som idag är starkt hotade av slutavverkningar.</w:t>
      </w:r>
      <w:r>
        <w:rPr>
          <w:b/>
        </w:rPr>
        <w:t xml:space="preserve"> </w:t>
      </w:r>
      <w:r>
        <w:t>Arten är placerad högst upp i Skogsstyrelsens värdepyramid för bedömning av skog med höga naturvärden och är liksom en lång rad följearter knutna till kalkrika barrblandskogar med lång kontinuitet beroende av områdesskydd eller naturvårdsavtal som förhindrar slutavverkningar av dess växtmiljöer (SLU Artdatabanken, 2024; Nitare &amp; Skogsstyrelsen, 2019).</w:t>
      </w:r>
    </w:p>
    <w:p>
      <w:r>
        <w:rPr>
          <w:b/>
        </w:rPr>
        <w:t>Davidmusseron (EN)</w:t>
      </w:r>
      <w:r>
        <w:t xml:space="preserve"> är en ytterst sällsynt och starkt hotad art som bildar mykorrhiza med tall eller gran i äldre kalkbarrskog på torr och sandig mark, som kalktallhed och luckig kalkgranskog med historik av skogsbete. Den har mycket få kända förekomster i världen och är placerad högst upp i Skogsstyrelsens värdepyramid för bedömning av skog med höga naturvärden. Arten hotas av alla former av skogsbruksåtgärder och samtliga förekomster kan tolkas som relikter där varje lokal har mycket högt skyddsvärde. Samtliga växtplatser bör få ett långsiktigt skydd (SLU Artdatabanken, 2026; Nitare &amp; Skogsstyrelsen,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Jättespindling (NT)</w:t>
      </w:r>
      <w:r>
        <w:t xml:space="preserve"> bildar mykorrhiza med ek, lind, avenbok, bok och hassel. Växer i ädellövskog, ädellövbryn, löväng och hagmark, bäckraviner på kalkrik och ofta betad mark. Minskningstakten har uppgått till 15 % under de senaste 50 åren och bedöms vara nära gränsvärdet för Sårbar (VU) (SLU Artdatabanken, 2026).</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Rosetticka (VU)</w:t>
      </w:r>
      <w:r>
        <w:t xml:space="preserve"> är en vedlevande svamp som orsakar brunröta. Den växer främst på barrträd men har även observerats på några olika slag av lövträd. Lågor, stubbar och rötter av gran är den vanligaste livsmiljön och ibland växer den upp från ved som ligger dold i marken. Arten förekommer framförallt på skuggiga och fuktiga lokaler med hög produktionsförmåga. Arten hotas genom att den hör hemma i en miljö som har stort värde för skogsproduktion och som det finns få skyddade områden av. Ett urval av de kända lokalerna måste kontrolleras och om arten återfinns måste området skyddas. För att möjliggöra att arten fortlever i landet måste fler bestånd med äldre, högproduktiv granskog undantas från skogsbruk. Detta gäller särskilt i södra Sverige där bara ett fåtal sådana områden hittills skyddats (SLU Artdatabanken, 2026).</w:t>
      </w:r>
    </w:p>
    <w:p>
      <w:r>
        <w:rPr>
          <w:b/>
        </w:rPr>
        <w:t>Rävticka</w:t>
      </w:r>
      <w:r>
        <w:t xml:space="preserve"> är typisk art för </w:t>
      </w:r>
      <w:r>
        <w:rPr>
          <w:i/>
        </w:rPr>
        <w:t xml:space="preserve">9010 Taiga </w:t>
      </w:r>
      <w:r>
        <w:t>(SLU Artdatabanken, 2025).</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Sotbandad spindling (EN)</w:t>
      </w:r>
      <w:r>
        <w:t xml:space="preserve"> är en starkt hotad art som bildar mykorrhiza med gran, möjligen även med tall, i äldre örtrik barrskog, gärna grandominerad kalkbarrskog på torr till frisk mark. Arten är placerad högst upp i Skogsstyrelsens värdepyramid för bedömning av skog med höga naturvärden och tål inte kalavverkning eller andra mer radikala ingrepp i växtplatsernas miljö. Kända växtplatser bör tills vidare undantas från skogsbruk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Vedlavklubba (VU)</w:t>
      </w:r>
      <w:r>
        <w:t xml:space="preserve"> är en sällsynt art som växer på lågor av lövträd, helst asp och bok. Den förekommer huvudsakligen i skogsmiljöer med rik tillgång på grov död och ved, oftast i skogar med hög luftfuktighet som inte har kalavverkats. Svampen är sannolikt mycket känslig för all form av avverkning eller dränering som medför att växtplatsen får ett torrare mikroklimat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Åderskölding </w:t>
      </w:r>
      <w:r>
        <w:t>växer i blandad ädellövskog på murkna stammar och grenar av lövträd, helst bok och ask. Ibland även på starkt murkna vedrester och förna intill grova träd. Arten är placerad högst upp i Skogsstyrelsens värdepyramid för bedömning av skog med höga naturvärden (SLU Artdatabanken, 2024; Nitare &amp; Skogsstyrelsen, 2019).</w:t>
      </w:r>
    </w:p>
    <w:p>
      <w:r>
        <w:rPr>
          <w:b/>
        </w:rPr>
        <w:t>Åttafläckig praktbagge</w:t>
      </w:r>
      <w:r>
        <w:t xml:space="preserve"> är en skalbagge vars larvutveckling sker i solexponerad död ved av tall, undantagsvis gran. Ofta i döda veddelar i levande träd, t.ex. ytliga rötter med blottad ved, även i klena stammar eller grova grenar på marken. De platta larvgångarna är packade med gnagmjöl, och det plattovala flyghålet är ungefär 5 mm i diameter. Åttafläckig praktbagge är typisk art för </w:t>
      </w:r>
      <w:r>
        <w:rPr>
          <w:i/>
        </w:rPr>
        <w:t xml:space="preserve">9010 Taiga </w:t>
      </w:r>
      <w:r>
        <w:t>(SLU Artdatabanken, 2025).</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pPr>
        <w:pStyle w:val="Heading1"/>
      </w:pPr>
      <w:r>
        <w:t>Fridlysta arter</w:t>
      </w:r>
    </w:p>
    <w:p>
      <w:r>
        <w:t>Följande fridlysta arter har sina livsmiljöer och växtplatser i den avverkningsanmälda skogen: knärot (VU, §8), guckusko (S, §7), nästrot (S, §8) och skogsknipprot (S, §8).</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428920"/>
            <wp:docPr id="2" name="Picture 2"/>
            <wp:cNvGraphicFramePr>
              <a:graphicFrameLocks noChangeAspect="1"/>
            </wp:cNvGraphicFramePr>
            <a:graphic>
              <a:graphicData uri="http://schemas.openxmlformats.org/drawingml/2006/picture">
                <pic:pic>
                  <pic:nvPicPr>
                    <pic:cNvPr id="0" name="A 55023-2025 karta knärot.png"/>
                    <pic:cNvPicPr/>
                  </pic:nvPicPr>
                  <pic:blipFill>
                    <a:blip r:embed="rId17"/>
                    <a:stretch>
                      <a:fillRect/>
                    </a:stretch>
                  </pic:blipFill>
                  <pic:spPr>
                    <a:xfrm>
                      <a:off x="0" y="0"/>
                      <a:ext cx="5486400" cy="74289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6670579, E 707071 i SWEREF 99 TM.</w:t>
      </w:r>
    </w:p>
    <w:p>
      <w:pPr>
        <w:pStyle w:val="Caption"/>
      </w:pPr>
    </w:p>
    <w:p>
      <w:r>
        <w:rPr>
          <w:b/>
        </w:rPr>
        <w:t>Skogsknipprot (§8)</w:t>
      </w:r>
      <w:r>
        <w:t xml:space="preserve"> är fridlyst enligt 8§ artskyddsförordningen och typisk art för </w:t>
      </w:r>
      <w:r>
        <w:rPr>
          <w:i/>
        </w:rPr>
        <w:t>9050 Näringsrik granskog</w:t>
      </w:r>
      <w:r>
        <w:t xml:space="preserve"> (SLU Artdatabanken, 2025).</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