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53065-2024 i Norrtälje kommun</w:t>
      </w:r>
    </w:p>
    <w:p>
      <w:r>
        <w:t>Detta dokument behandlar höga naturvärden i avverkningsanmälan A 53065-2024 i Norrtälje kommun. Denna avverkningsanmälan inkom 2024-11-15 11:20:10 och omfattar 12,3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aspsplintbock (VU), grön aspvedbock (NT) och gulröd blankbock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53065-2024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6658889, E 693167 i SWEREF 99 TM.</w:t>
      </w:r>
    </w:p>
    <w:p>
      <w:r>
        <w:rPr>
          <w:b/>
        </w:rPr>
        <w:t>Aspsplintbock (VU)</w:t>
      </w:r>
      <w:r>
        <w:t xml:space="preserve"> är en skalbagge vars larvutveckling sker i barken på döda grenar eller klena stammar av asp. Främsta hotet är bristen på lövrika skogar med kontinuitet av gammal asp. Det är ogynnsamt att plocka bort vindfällen av asp, eller att ta ut grenar och toppar som biobränsle. Lövrika skogar med kontinuitet av gammal asp bör bevaras, och inte slutavverkas. Yngre aspbestånd bör få utvecklas fritt, och inte röjas eller gallras. Uttag av biobränsle (grenar och toppar) från asp bör undvikas. Aspsplintbock ingår i ett åtgärdsprogram för hotade arter (ÅGP) (SLU Artdatabanken, 2024; Eriksson, 2013).</w:t>
      </w:r>
    </w:p>
    <w:p>
      <w:r>
        <w:rPr>
          <w:b/>
        </w:rPr>
        <w:t>Grön aspvedbock</w:t>
      </w:r>
      <w:r>
        <w:t xml:space="preserve"> är en skalbagge vars larvutveckling sker under tjock bark på nyligen döda stammar och grova grenar (&gt;5 cm diameter) av lövträd, i Sverige nästan uteslutande asp. Fullbildade individer är skymnings- och nattaktiva och dras till ljus. Arten påverkas negativt av brist på grova eller gamla träd och det föreligger indikation på eller misstanke om populationsminskning. Minskningen avser kvalitén på artens habitat och antalet lokalområden (SLU Artdatabanken, 2026).</w:t>
      </w:r>
    </w:p>
    <w:p>
      <w:r>
        <w:rPr>
          <w:b/>
        </w:rPr>
        <w:t>Gulröd blankbock</w:t>
      </w:r>
      <w:r>
        <w:rPr>
          <w:b/>
          <w:i/>
        </w:rPr>
        <w:t xml:space="preserve"> </w:t>
      </w:r>
      <w:r>
        <w:t>är en långhorning vars larvutveckling sker i och under solexponerad, torr bark på döda grenar och stamdelar (ofta 15–30 cm diameter) av lövträd. I Sverige såvitt känt enbart på asp. Arten påverkas negativt av brist på död ved och det föreligger indikation på eller misstanke om populationsminskning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