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39425-2026 i Norrtälje kommun</w:t>
      </w:r>
    </w:p>
    <w:p>
      <w:r>
        <w:t>Detta klagomål behandlar höga naturvärden i avverkningsanmälan A 39425-2026 i Norrtälje kommun som inkom 2026-09-23 och omfattar 6,1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39425-2026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6634227, E 697491 i SWEREF 99 TM.</w:t>
      </w:r>
    </w:p>
    <w:p>
      <w:r>
        <w:t>Inom 22 meter från avverkningsanmälan finns fynd av 2 naturvårdsarter, varav 1 är rödlistad och 1 är signalart (S): Blastenia relicta (NT) och läderskål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Blastenia relicta </w:t>
      </w:r>
      <w:r>
        <w:rPr>
          <w:b/>
        </w:rPr>
        <w:t>(NT)</w:t>
      </w:r>
      <w:r>
        <w:t xml:space="preserve"> är en rostorangelav som växer på aspgrenar, men även på stammar på senvuxna, öppet stående träd. I södra Sverige växer den ibland på ädellövträd. Arten har i södra och mellersta Sverige minskat, sannolikt dels p.g.a. att antalet senvuxna aspar i skogsmark blivit färre. Kända lokaler bör skyddas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