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7863-2021 i Norrtälje kommun</w:t>
      </w:r>
    </w:p>
    <w:p>
      <w:r>
        <w:t>Detta klagomål behandlar höga naturvärden i samrådsanmälan S 7863-2021 i Norrtälje kommun som inkom 2021-10-13 och omfattar 6,0 ha.</w:t>
      </w:r>
    </w:p>
    <w:p>
      <w:pPr>
        <w:pStyle w:val="Caption"/>
      </w:pPr>
      <w:r>
        <w:drawing>
          <wp:inline xmlns:a="http://schemas.openxmlformats.org/drawingml/2006/main" xmlns:pic="http://schemas.openxmlformats.org/drawingml/2006/picture">
            <wp:extent cx="5164912" cy="5724000"/>
            <wp:docPr id="1" name="Picture 1"/>
            <wp:cNvGraphicFramePr>
              <a:graphicFrameLocks noChangeAspect="1"/>
            </wp:cNvGraphicFramePr>
            <a:graphic>
              <a:graphicData uri="http://schemas.openxmlformats.org/drawingml/2006/picture">
                <pic:pic>
                  <pic:nvPicPr>
                    <pic:cNvPr id="0" name="S 7863-2021 karta.png"/>
                    <pic:cNvPicPr/>
                  </pic:nvPicPr>
                  <pic:blipFill>
                    <a:blip r:embed="rId16"/>
                    <a:stretch>
                      <a:fillRect/>
                    </a:stretch>
                  </pic:blipFill>
                  <pic:spPr>
                    <a:xfrm>
                      <a:off x="0" y="0"/>
                      <a:ext cx="5164912"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6620018, E 704718 i SWEREF 99 TM.</w:t>
      </w:r>
    </w:p>
    <w:p>
      <w:r>
        <w:t>I och inom 13 meter från samrådsanmälan finns fynd av 14 naturvårdsarter, varav 9 är rödlistade, 10 är typiska (T) och 5 är signalarter (S): aspgelélav (VU, T), garnlav (VU, T), blek fingersvamp (NT), kryddspindling (NT, T), orange taggsvamp (NT, T), rynkskinn (NT, T), tallticka (NT, T), ullticka (NT, T), vedskivlav (NT, T), Ramaria flavoides (S), rödgul trumpetsvamp (S), stor aspticka (S, T), strimspindling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i/>
        </w:rPr>
        <w:t xml:space="preserve">Ramaria flavoides </w:t>
      </w:r>
      <w:r>
        <w:t>är en ofullständigt utredd art (eller artgrupp) som huvudsakligen är knuten till frisk eller något fuktig kalkgranskog av lågörtstyp där den bildar ektomykorrhiza med gran. Den är dock även påträffad i bokskog på kalkrik mark och bildar då mykorrhiza med bok. Slutavverkning, gödsling eller exploatering måste undvikas och lokalerna skyddas. Arten är placerad högst upp i Skogsstyrelsens värdepyramid för bedömning av skog med höga naturvärden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