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7863-2021 i Norrtälje kommun</w:t>
      </w:r>
    </w:p>
    <w:p>
      <w:r>
        <w:t>Denna tillsynsbegäran behandlar höga naturvärden i samrådsanmälan S 7863-2021 i Norrtälje kommun som inkom 2021-10-13 och omfattar 6,0 ha.</w:t>
      </w:r>
    </w:p>
    <w:p>
      <w:pPr>
        <w:pStyle w:val="Caption"/>
      </w:pPr>
      <w:r>
        <w:drawing>
          <wp:inline xmlns:a="http://schemas.openxmlformats.org/drawingml/2006/main" xmlns:pic="http://schemas.openxmlformats.org/drawingml/2006/picture">
            <wp:extent cx="5164912" cy="5724000"/>
            <wp:docPr id="1" name="Picture 1"/>
            <wp:cNvGraphicFramePr>
              <a:graphicFrameLocks noChangeAspect="1"/>
            </wp:cNvGraphicFramePr>
            <a:graphic>
              <a:graphicData uri="http://schemas.openxmlformats.org/drawingml/2006/picture">
                <pic:pic>
                  <pic:nvPicPr>
                    <pic:cNvPr id="0" name="S 7863-2021 karta.png"/>
                    <pic:cNvPicPr/>
                  </pic:nvPicPr>
                  <pic:blipFill>
                    <a:blip r:embed="rId16"/>
                    <a:stretch>
                      <a:fillRect/>
                    </a:stretch>
                  </pic:blipFill>
                  <pic:spPr>
                    <a:xfrm>
                      <a:off x="0" y="0"/>
                      <a:ext cx="5164912" cy="5724000"/>
                    </a:xfrm>
                    <a:prstGeom prst="rect"/>
                  </pic:spPr>
                </pic:pic>
              </a:graphicData>
            </a:graphic>
          </wp:inline>
        </w:drawing>
      </w:r>
    </w:p>
    <w:p>
      <w:pPr>
        <w:pStyle w:val="Caption"/>
        <w:spacing w:after="240"/>
      </w:pPr>
      <w:r>
        <w:t>Figur 1. Fyndplatser för naturvårdsarter i och inom 13 meter från samrådsanmälan. Markörer utan svart kant är placerade på fyndplatsen. Markörer med svart kant är placerade vid sidan av fyndplatsen och har ett svart streck som visar fyndplatsens exakta position. Kartans mittpunktskoordinat är N 6620018, E 704718 i SWEREF 99 TM.</w:t>
      </w:r>
    </w:p>
    <w:p>
      <w:r>
        <w:t>I och inom 13 meter från samrådsanmälan finns fynd av 14 naturvårdsarter, varav 9 är rödlistade, 10 är typiska (T) och 5 är signalarter (S): aspgelélav (VU, T), garnlav (VU, T), blek fingersvamp (NT), kryddspindling (NT, T), orange taggsvamp (NT, T), rynkskinn (NT, T), tallticka (NT, T), ullticka (NT, T), vedskivlav (NT, T), Ramaria flavoides (S), rödgul trumpetsvamp (S), stor aspticka (S, T), strimspindling (S)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Blek fingersvamp (NT) </w:t>
      </w:r>
      <w:r>
        <w:t>bildar mykorrhiza med dels gran i ängsgranskog men även under bok, ek och avenbok i ädellövskog. Arten är känslig för olika skogsbruksåtgärder och därför på tillbakagång såväl i Sverige som i andra europeiska länder. Arten hotas främst av slutavverkning och andra skogsbruksåtgärder. Arten tål inte en slutavverkning och sannolikt inte heller en kraftig gallring. Skogsområden med arten bör undantas från storskaligt skogsbruk. Slutavverkning, kraftig gallring och skogsgödsling måste helt undvikas, liksom körning med tunga maskiner (SLU Artdatabanken, 2024; Nitare &amp; Skogsstyrelsen, 2019).</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i/>
        </w:rPr>
        <w:t xml:space="preserve">Ramaria flavoides </w:t>
      </w:r>
      <w:r>
        <w:t>är en ofullständigt utredd art (eller artgrupp) som huvudsakligen är knuten till frisk eller något fuktig kalkgranskog av lågörtstyp där den bildar ektomykorrhiza med gran. Den är dock även påträffad i bokskog på kalkrik mark och bildar då mykorrhiza med bok. Slutavverkning, gödsling eller exploatering måste undvikas och lokalerna skyddas. Arten är placerad högst upp i Skogsstyrelsens värdepyramid för bedömning av skog med höga naturvärden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aspgelélav (VU, T), garnlav (VU, T), kryddspindling (NT, T), orange taggsvamp (NT, T), rynkskinn (NT, T), tallticka (NT, T), ullticka (NT, T), vedskivlav (NT, T), stor aspticka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