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9472-2025 i Norrtälje kommun</w:t>
      </w:r>
    </w:p>
    <w:p>
      <w:r>
        <w:t>Detta dokument behandlar höga naturvärden i avverkningsanmälan A 9472-2025 i Norrtälje kommun. Denna avverkningsanmälan inkom 2025-02-27 00:00:00 och omfattar 11,9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25 naturvårdsarter hittats: fläckfingersvamp (VU), knärot (VU, §8), koppartaggsvamp (VU), läderdoftande fingersvamp (VU), porslinsblå spindling (VU), ringlav (VU), violgubbe (VU), gul taggsvamp (NT), persiljespindling (NT), slåtterfibbla (NT), spillkråka (NT, §4), anisspindling (S), aprikosfingersvamp (S), bronshjon (S), fjällig taggsvamp s.str. (S), granbarkgnagare (S), grönpyrola (S), honungsvaxing (S), olivspindling (S), skarp dropptaggsvamp (S), sårläka (S), ängsfingersvamp (S), kungsfågel (§4), blåsippa (§9) och revlummer (§9). Av dessa är 11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419332"/>
            <wp:docPr id="1" name="Picture 1"/>
            <wp:cNvGraphicFramePr>
              <a:graphicFrameLocks noChangeAspect="1"/>
            </wp:cNvGraphicFramePr>
            <a:graphic>
              <a:graphicData uri="http://schemas.openxmlformats.org/drawingml/2006/picture">
                <pic:pic>
                  <pic:nvPicPr>
                    <pic:cNvPr id="0" name="A 9472-2025 karta.png"/>
                    <pic:cNvPicPr/>
                  </pic:nvPicPr>
                  <pic:blipFill>
                    <a:blip r:embed="rId16"/>
                    <a:stretch>
                      <a:fillRect/>
                    </a:stretch>
                  </pic:blipFill>
                  <pic:spPr>
                    <a:xfrm>
                      <a:off x="0" y="0"/>
                      <a:ext cx="5486400" cy="24193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6649858, E 712312 i SWEREF 99 TM.</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r>
        <w:rPr>
          <w:b/>
        </w:rPr>
        <w:t xml:space="preserve">Fläckfingersvamp (VU) </w:t>
      </w:r>
      <w:r>
        <w:t>är en sällsynt ”toppart” som bildar mykorrhiza med dels bok i äldre bokskog, dels med gran i barrskog på näringsrik-kalkrik mark, sällsynt även med ek i ädellövskog. Svampen har en egenartad, ljust svavelgröngul färg som är svår att återge. På foten och i gamla skador får svampen karaktäristiska vinröda fläckar och är därför lätt att känna igen. All form av skogsavverkning i eller i närheten av växtplatsen missgynnar arten och skogsområden där den förekommer bör skyddas och undantas från rationellt skogsbruk. Fläckfingersvamp är placerad högst upp i Skogsstyrelsens värdepyramid för bedömning av skog med höga naturvärden och dess växtplatser utgör ofta s.k. ”hotspots” för ett stort antal rödlistade svampar (SLU Artdatabanken, 2024; Nitare &amp; Skogsstyrelsen, 2019).</w:t>
      </w:r>
    </w:p>
    <w:p>
      <w:r>
        <w:rPr>
          <w:b/>
        </w:rPr>
        <w:t xml:space="preserve">Granbarkgnagare </w:t>
      </w:r>
      <w:r>
        <w:t xml:space="preserve">är en skalbagge vars larvutveckling sker i den tjocka ytterbarken på gamla och mycket grova levande granar. Man lägger lätt märke till angreppen på träden eftersom flera grova kläckhål ligger ganska tätt intill varandra på de grövre barkåsarna. Kläckhålen är runda och ca 1,5 mm breda. Granbarkgnagare är typisk art för </w:t>
      </w:r>
      <w:r>
        <w:rPr>
          <w:i/>
        </w:rPr>
        <w:t xml:space="preserve">9010 Taiga </w:t>
      </w:r>
      <w:r>
        <w:t>(Ehnström, 2002; SLU Artdatabanken, 2025).</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 xml:space="preserve">Gul taggsvamp (VU) </w:t>
      </w:r>
      <w:r>
        <w:t xml:space="preserve">bildar mykorrhiza med gran i äldre barrskog med lång kontinuitet. Förekommer på kalkrik eller annan basiskt påverkad mark, ofta i källpåverkade miljöer. Den totala populationen i landet har minskat kraftigt och bedöms fortsätta minska till följd av avverkning av äldre barrskog med lång trädkontinuitet. Minskningstakten överstiger gränsvärdet för sårbar (VU). Arten tål inte en slutavverkning utan kräver ett kontinuerligt äldre trädskikt med gran. Slutavverkning, kraftig gallring och skogsmarksgödsling måste helt undvikas och lokalerna bör skyddas formellt. Gul taggsvamp är typisk art för </w:t>
      </w:r>
      <w:r>
        <w:rPr>
          <w:i/>
        </w:rPr>
        <w:t>9050 Näringsrik granskog</w:t>
      </w:r>
      <w:r>
        <w:t xml:space="preserve"> (SLU Artdatabanken, 2026).</w:t>
      </w:r>
    </w:p>
    <w:p>
      <w:r>
        <w:rPr>
          <w:b/>
        </w:rPr>
        <w:t xml:space="preserve">Koppartaggsvamp (EN) </w:t>
      </w:r>
      <w:r>
        <w:t>är en starkt hotad svamp som bildar mykorrhiza med gran i örtrik äldre granskog på kalkrik mark. Arten är en mycket bra indikator på skyddsvärda kalkgranskogar och påfallande ofta växer den tillsammans med raggtaggsvamp (EN). Koppartaggsvamp ingår i ett åtgärdsprogram för hotade arter (ÅGP) och dess långsiktiga överlevnad säkras genom att växtplatserna undantas från avverkning. Den totala populationen i landet har minskat kraftigt och minskningstakten, som uppgår till 50 (30–70) % inom 50 år, överstiger gränsvärdet för starkt hotad (EN) (SLU Artdatabanken, 2026; Nitare &amp; Skogsstyrelsen, 2019; Nitare, 2006).</w:t>
      </w:r>
    </w:p>
    <w:p>
      <w:r>
        <w:rPr>
          <w:b/>
        </w:rPr>
        <w:t xml:space="preserve">Läderdoftande fingersvamp (VU) </w:t>
      </w:r>
      <w:r>
        <w:t>bildar mykorrhiza med gran i örtrik äldre barrskog, ofta på kalkrik mark. Den har en speciell doft som kan påminna om nytt skoläder (skoaffär), därav det svenska namnet. Den totala populationen i landet bedöms ändå ha minskat starkt och fortsatt kommer att minska då arten är knuten till en bördig äldre kalkgranskogsmiljö som successivt avverkas och där få områden alltjämt är formellt skyddade. All form av hårdhänt skogsavverkning på eller i närheten av växtplatsen missgynnar arten. Artens huvudsakliga koppling till produktiva äldre granskogar med hög bonitet gör den särskilt utsatt för slutavverkning. Samtliga lokaler bör undantas från rationellt skogsbruk och få ett områdesskydd (SLU Artdatabanken, 2024; Nitare &amp; Skogsstyrelsen, 2019).</w:t>
      </w:r>
    </w:p>
    <w:p>
      <w:r>
        <w:rPr>
          <w:b/>
        </w:rPr>
        <w:t>Olivspindling</w:t>
      </w:r>
      <w:r>
        <w:t xml:space="preserve"> växer uteslutande på näringsrik och kalkhaltig skogsmark där den huvudsakligen bildar mykorrhiza med gran och tall. Svampen är en typisk representant för kalkgranskogens särpräglade och rika svampflora. Kalavverkning är ett hot mot arten, eftersom den sannolikt kräver lång kontinuitet av äldre träd. Populationerna i landet bedöms därför minska beroende på slutavverkning av äldre barrskog på kalkhaltig mark (SLU Artdatabanken, 2024; Nitare &amp; Skogsstyrelsen, 2019).</w:t>
      </w:r>
    </w:p>
    <w:p>
      <w:r>
        <w:rPr>
          <w:b/>
        </w:rPr>
        <w:t>Persiljespindling (NT)</w:t>
      </w:r>
      <w:r>
        <w:t xml:space="preserve"> bildar mykorrhiza med tall, gran och bok i ängsgranskog, kalktallskog och i ängsbokskog på rikare mark. Minskningstakten uppgår till 15 % inom 50 år och bedöms vara nära gränsvärdet för Sårbar (VU). (A2c+3c+4c). Persiljespindlingen hotas av avverkningar och är särskilt känslig eftersom den är knuten till äldre, produktiv barrskog, d.v.s. en skogstyp som är en bristvara i skyddade områden i Sverige och som samtidigt försvinner i snabb takt genom slutavverkningar. Skyddet för äldre ört- och kalkrika barrskogar med trädkontinuitet måste öka och oskyddade bokskogar med persiljespindling måste få ett formellt skydd i form av biotopskydd eller naturreservat (SLU Artdatabanken, 2024).</w:t>
      </w:r>
    </w:p>
    <w:p>
      <w:r>
        <w:rPr>
          <w:b/>
        </w:rPr>
        <w:t>Porslinsblå spindling (VU)</w:t>
      </w:r>
      <w:r>
        <w:t xml:space="preserve"> är en mycket bra signalart på skyddsvärda kalkgranskogar där det föreligger långvarig grankontinuitet. Andelen äldre näringsrik granskog minskar i södra Sverige och därför fortsätter arten att minska. Det främsta hotet mot porslinsblå spindling är avverkning av de värdträd som den är helt beroende av. Den är placerad högst upp i Skogsstyrelsens värdepyramid för bedömning av skog med höga naturvärden och äldre granskogar där arten växer bör i möjligaste mån undantas från avverkning. Porslinsblå spindling är typisk art för </w:t>
      </w:r>
      <w:r>
        <w:rPr>
          <w:i/>
        </w:rPr>
        <w:t>9050 Näringsrik granskog</w:t>
      </w:r>
      <w:r>
        <w:t xml:space="preserve"> (SLU Artdatabanken, 2024; Nitare &amp; Skogsstyrelsen, 2019).</w:t>
      </w:r>
    </w:p>
    <w:p>
      <w:r>
        <w:rPr>
          <w:b/>
        </w:rPr>
        <w:t>Ringlav (VU)</w:t>
      </w:r>
      <w:r>
        <w:t>, rödlistad som sårbar, växer oftast på gran och tall i brandrefugiala halvöppna skogar med hög och jämn luftfuktighet. Under de senaste 50 åren har minskningstakten uppgått till 30 (20–40) %. Hur mycket den kommer att minska i framtiden beror på vad som kommer att ske med de stora förekomster som hittats men som ännu saknar skydd. Arten, som är placerad i toppen på Skogsstyrelsen värdepyramid för bedömning av skog med höga naturvärden, är ytterst känslig för förändringar i mikroklimatet och den överlever inte i skogsbestånd som gränsar till kalhyggen. Lavens förekomster tillsammans med väl tilltagna skyddszoner måste skyddas och undantas från produktionsinriktat skogsbruk (SLU Artdatabanken, 2024; Nitare &amp; Skogsstyrelsen, 2019).</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Slåtterfibbla (NT)</w:t>
      </w:r>
      <w:r>
        <w:t xml:space="preserve"> är typisk art för </w:t>
      </w:r>
      <w:r>
        <w:rPr>
          <w:i/>
        </w:rPr>
        <w:t xml:space="preserve">9060 Åsbarrskog, 9070 Trädklädd betesmark, 6530 Lövängar, 1610 Åsöar i Östersjön, 6230 Stagg-gräsmarker, 6270 Silikatgräsmarker </w:t>
      </w:r>
      <w:r>
        <w:t>och</w:t>
      </w:r>
      <w:r>
        <w:rPr>
          <w:i/>
        </w:rPr>
        <w:t xml:space="preserve"> 6510 Slåtterängar i låglandet </w:t>
      </w:r>
      <w:r>
        <w:t>(SLU Artdatabanken, 2025).</w:t>
      </w:r>
    </w:p>
    <w:p>
      <w:r>
        <w:rPr>
          <w:b/>
        </w:rPr>
        <w:t>Sårläka (NT)</w:t>
      </w:r>
      <w:r>
        <w:t xml:space="preserve"> växer på mullrik mark i skuggiga eller halvskuggiga lövskogar och lundar men också i örtrika kalkbarrskogar. Arten ingår i en exklusiv lundflora som bara uppträder i de allra rikaste kalkbarrskogarna söder om den biologiska norrlandsgränsen. I ädellövskogar och lundar är den också knuten till områden med en mycket rik mångfald av naturvårdsarter. Enligt Riksskogstaxeringens data förefaller den ha minskat kraftigt (&gt;50%) vilket troligen kan förklaras av det storskaliga skogsbruket med kalhyggen. Sårläka är typisk art för </w:t>
      </w:r>
      <w:r>
        <w:rPr>
          <w:i/>
        </w:rPr>
        <w:t xml:space="preserve">9050 Näringsrik granskog, 9020 Nordlig ädellövskog, 9130 Näringsrik bokskog </w:t>
      </w:r>
      <w:r>
        <w:t xml:space="preserve">och </w:t>
      </w:r>
      <w:r>
        <w:rPr>
          <w:i/>
        </w:rPr>
        <w:t>9160 Näringsrik ekskog</w:t>
      </w:r>
      <w:r>
        <w:t xml:space="preserve"> samt värdväxt för den rödlistade fjärilen sårläkeplattmal (NT) (SLU Artdatabanken, 2026; Nitare &amp; Skogsstyrelsen, 2019).</w:t>
      </w:r>
    </w:p>
    <w:p>
      <w:r>
        <w:rPr>
          <w:b/>
        </w:rPr>
        <w:t>Violgubbe (EN)</w:t>
      </w:r>
      <w:r>
        <w:t xml:space="preserve"> är en starkt hotad art som bildar mykorrhiza med gran och bok och ev. andra trädslag i äldre ängsgran- och ängsbokskog med lång kontinuitet, främst på kalkrik mark. Arten är placerad högst upp i Skogsstyrelsens värdepyramid för bedömning av skog med höga naturvärden och indikerar alltid skogsområden med höga naturvärden. Det största hotet mot arten är skogsavverkning och den omfattas av ett åtgärdsprogram för hotade arter (ÅGP). Violgubben överlever inte en slutavverkning och verkar dessutom ha svårt att etablera sig i yngre skogsbestånd (SLU Artdatabanken, 2026; Nitare &amp; Skogsstyrelsen, 2019; Aronsson, 2006).</w:t>
      </w:r>
    </w:p>
    <w:p>
      <w:pPr>
        <w:pStyle w:val="Heading1"/>
      </w:pPr>
      <w:r>
        <w:t>Fridlysta arter</w:t>
      </w:r>
    </w:p>
    <w:p>
      <w:r>
        <w:t>Följande fridlysta arter har sina livsmiljöer och växtplatser i den avverkningsanmälda skogen: knärot (VU, §8), spillkråka (NT, §4), kungsfågel (§4), blåsippa (§9)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30 fyndplatser för knärot registrerade på Artportalen. Figur 2 visar gränserna för buffertzoner på 50 m, som behöver lämnas kring fyndplatserna för att knärotslokalerna inte ska försvinna vid en avverkning. Av det avverkningsanmälda området överlappar 3.50 ha med buffertzonerna och får av detta skäl inte avverkas.</w:t>
      </w:r>
    </w:p>
    <w:p>
      <w:pPr>
        <w:pStyle w:val="Caption"/>
      </w:pPr>
      <w:r>
        <w:drawing>
          <wp:inline xmlns:a="http://schemas.openxmlformats.org/drawingml/2006/main" xmlns:pic="http://schemas.openxmlformats.org/drawingml/2006/picture">
            <wp:extent cx="5486400" cy="2782872"/>
            <wp:docPr id="2" name="Picture 2"/>
            <wp:cNvGraphicFramePr>
              <a:graphicFrameLocks noChangeAspect="1"/>
            </wp:cNvGraphicFramePr>
            <a:graphic>
              <a:graphicData uri="http://schemas.openxmlformats.org/drawingml/2006/picture">
                <pic:pic>
                  <pic:nvPicPr>
                    <pic:cNvPr id="0" name="A 9472-2025 karta knärot.png"/>
                    <pic:cNvPicPr/>
                  </pic:nvPicPr>
                  <pic:blipFill>
                    <a:blip r:embed="rId17"/>
                    <a:stretch>
                      <a:fillRect/>
                    </a:stretch>
                  </pic:blipFill>
                  <pic:spPr>
                    <a:xfrm>
                      <a:off x="0" y="0"/>
                      <a:ext cx="5486400" cy="278287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6649858, E 712312 i SWEREF 99 TM.</w:t>
      </w:r>
    </w:p>
    <w:p>
      <w:pPr>
        <w:pStyle w:val="Caption"/>
      </w:pP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