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17645-2026 i Norrtälje kommun</w:t>
      </w:r>
    </w:p>
    <w:p>
      <w:r>
        <w:t>Detta klagomål behandlar höga naturvärden i avverkningsanmälan A 17645-2026 i Norrtälje kommun som inkom 2026-04-09 och omfattar 8,2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17645-2026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6643776, E 696753 i SWEREF 99 TM.</w:t>
      </w:r>
    </w:p>
    <w:p>
      <w:r>
        <w:t>I och inom 25 meter från avverkningsanmälan finns fynd av 23 naturvårdsarter, varav 9 är rödlistade, 8 är fridlysta, 16 är typiska (T) och 6 är signalarter (S): skogsalm (EN), aspgelélav (VU, T), grangråticka (VU, T), knärot (VU, T, §8), fjällig taggsvamp s.str. (NT), järnsparv (NT, §4), tallticka (NT, T), ullticka (NT, T), vit vedfingersvamp (NT), barkticka (S, T), grönpyrola (S, T), guldlockmossa (S, T), mörk husmossa (S, T), platt fjädermossa (S, T), stor aspticka (S, T), blåsippa (T, §9), kransmossa (T), ormbär (T), spillkråka (T, §4), tofsmes (T, §4), grönsiska (§4),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49 fyndplatser för knärot registrerade på Artportalen. Figur 2 visar gränserna för buffertzoner på 50 m, som behöver lämnas kring fyndplatserna för att knärotslokalerna inte ska försvinna vid en avverkning. Av det avverkningsanmälda området överlappar 5.74 ha med buffertzonerna och får av detta skäl inte avverkas.</w:t>
      </w:r>
    </w:p>
    <w:p>
      <w:pPr>
        <w:pStyle w:val="Caption"/>
      </w:pPr>
      <w:r>
        <w:drawing>
          <wp:inline xmlns:a="http://schemas.openxmlformats.org/drawingml/2006/main" xmlns:pic="http://schemas.openxmlformats.org/drawingml/2006/picture">
            <wp:extent cx="5486400" cy="4291081"/>
            <wp:docPr id="2" name="Picture 2"/>
            <wp:cNvGraphicFramePr>
              <a:graphicFrameLocks noChangeAspect="1"/>
            </wp:cNvGraphicFramePr>
            <a:graphic>
              <a:graphicData uri="http://schemas.openxmlformats.org/drawingml/2006/picture">
                <pic:pic>
                  <pic:nvPicPr>
                    <pic:cNvPr id="0" name="A 17645-2026 karta knärot.png"/>
                    <pic:cNvPicPr/>
                  </pic:nvPicPr>
                  <pic:blipFill>
                    <a:blip r:embed="rId17"/>
                    <a:stretch>
                      <a:fillRect/>
                    </a:stretch>
                  </pic:blipFill>
                  <pic:spPr>
                    <a:xfrm>
                      <a:off x="0" y="0"/>
                      <a:ext cx="5486400" cy="4291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6643776, E 696753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