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34045-2023 i Norrtälje kommun</w:t>
      </w:r>
    </w:p>
    <w:p>
      <w:r>
        <w:t>Detta klagomål behandlar höga naturvärden i avverkningsanmälan A 34045-2023 i Norrtälje kommun som inkom 2023-07-28 och omfattar 9,2 ha.</w:t>
      </w:r>
    </w:p>
    <w:p>
      <w:pPr>
        <w:pStyle w:val="Caption"/>
      </w:pPr>
      <w:r>
        <w:drawing>
          <wp:inline xmlns:a="http://schemas.openxmlformats.org/drawingml/2006/main" xmlns:pic="http://schemas.openxmlformats.org/drawingml/2006/picture">
            <wp:extent cx="5486400" cy="4439773"/>
            <wp:docPr id="1" name="Picture 1"/>
            <wp:cNvGraphicFramePr>
              <a:graphicFrameLocks noChangeAspect="1"/>
            </wp:cNvGraphicFramePr>
            <a:graphic>
              <a:graphicData uri="http://schemas.openxmlformats.org/drawingml/2006/picture">
                <pic:pic>
                  <pic:nvPicPr>
                    <pic:cNvPr id="0" name="A 34045-2023 karta.png"/>
                    <pic:cNvPicPr/>
                  </pic:nvPicPr>
                  <pic:blipFill>
                    <a:blip r:embed="rId16"/>
                    <a:stretch>
                      <a:fillRect/>
                    </a:stretch>
                  </pic:blipFill>
                  <pic:spPr>
                    <a:xfrm>
                      <a:off x="0" y="0"/>
                      <a:ext cx="5486400" cy="44397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6634798, E 705903 i SWEREF 99 TM.</w:t>
      </w:r>
    </w:p>
    <w:p>
      <w:r>
        <w:t>I och inom 25 meter från avverkningsanmälan finns fynd av 58 naturvårdsarter, varav 40 är rödlistade, 4 är fridlysta, 15 är typiska (T) och 16 är signalarter (S): ask (EN), fjällfotad fingersvamp (EN), gyllenfingersvamp (EN), koppartaggsvamp (EN), roslagsfingersvamp (EN), violgubbe (EN), duvspindling (VU), dysterspindling (VU), fläckfingersvamp (VU), grangråticka (VU, T), granrotspindling (VU), gul lammticka (VU), gul taggsvamp (VU, T), lakritsmusseron (VU, T), läderdoftande fingersvamp (VU), Ramaria neoformosa (VU), violettfläckig spindling (VU), apelsinticka (NT), bittermusseron (NT), blek fingersvamp (NT), dofttaggsvamp (NT, T), fjällig taggsvamp s.str. (NT), flattoppad klubbsvamp (NT), grantaggsvamp (NT), gultoppig fingersvamp (NT), kryddspindling (NT, T), kungsspindling (NT), odörspindling (NT), orange taggsvamp (NT, T), persiljespindling (NT), rosenticka (NT, T), skarp dropptaggsvamp (NT), slåtterfibbla (NT, T), sotvaxskivling (NT), svart taggsvamp (NT), såpfingersvamp (NT), tjockfotad fingersvamp (NT), ullticka (NT, T), vågticka (NT), äggspindling (NT), anisspindling (S), brandticka (S), bronshjon (S, T), guldkremla (S), hagfingersvamp (S), nästrot (S, §8), olivspindling (S), Ramaria flavoides (S), rödgul trumpetsvamp (S), skogsknipprot (S, T, §8), spetsvaxing (S), svavelriska (S), trådticka (S, T), vedticka (S, T), vågbandad barkbock (S), zontaggsvamp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Roslagsfingersvamp (EN) </w:t>
      </w:r>
      <w:r>
        <w:t>är en mycket sällsynt och starkt hotad ”toppart” som bildar mykorrhiza med gran i kalkrik barrskog. All form av skogsavverkning i eller i närheten av växtplatsen missgynnar arten. Dess koppling till produktiva äldre granskogar med hög bonitet gör den särskilt utsatt för slutavverkning. Samtliga lokaler bör undantas från rationellt skogsbruk och få ett områdesskydd. Arten är placerad högst upp i Skogsstyrelsens värdepyramid för bedömning av skog med höga naturvärden (SLU Artdatabanken, 2026;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Dysterspindling (VU)</w:t>
      </w:r>
      <w:r>
        <w:t xml:space="preserve"> bildar mykorrhiza med gran, i äldre granskog på näringsrik mark. Den totala populationen i landet bedöms ha minskat och förväntas fortsätta minska på grund av slutavverkning av äldre barrskog och kontinuitetsskog. Generellt är det största hotet för sällsynta mykorrhizasvampar att värdträden på växtplatserna avverkas. Kalavverkning och efterföljande markbearbetning innebär att arten försvinner (SLU Artdatabanken, 2026).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i/>
        </w:rPr>
        <w:t xml:space="preserve">Ramaria flavoides </w:t>
      </w:r>
      <w:r>
        <w:t>är en ofullständigt utredd art (eller artgrupp) som huvudsakligen är knuten till frisk eller något fuktig kalkgranskog av lågörtstyp där den bildar ektomykorrhiza med gran. Den är dock även påträffad i bokskog på kalkrik mark och bildar då mykorrhiza med bok. Slutavverkning, gödsling eller exploatering måste undvikas och lokalerna skyddas. Arten är placerad högst upp i Skogsstyrelsens värdepyramid för bedömning av skog med höga naturvärden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58 naturvårdsarter varav 40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