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9472-2025 i Norrtälje kommun</w:t>
      </w:r>
    </w:p>
    <w:p>
      <w:r>
        <w:t>Detta klagomål behandlar höga naturvärden i avverkningsanmälan A 9472-2025 i Norrtälje kommun som inkom 2025-02-27 och omfattar 11,9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9472-2025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6649858, E 712312 i SWEREF 99 TM.</w:t>
      </w:r>
    </w:p>
    <w:p>
      <w:r>
        <w:t>I och inom 25 meter från avverkningsanmälan finns fynd av 32 naturvårdsarter, varav 18 är rödlistade, 5 är fridlysta, 11 är typiska (T) och 10 är signalarter (S): koppartaggsvamp (EN), violgubbe (EN), fläckfingersvamp (VU), fältgentiana (VU), gul taggsvamp (VU, T), knärot (VU, T, §8), läderdoftande fingersvamp (VU), porslinsblå spindling (VU, T), ringlav (VU), fjällig taggsvamp s.str. (NT), kattfotslav (NT, T), loppstarr (NT), månlåsbräken (NT), persiljespindling (NT), skarp dropptaggsvamp (NT), slåtterfibbla (NT, T), sårläka (NT, T), tjockfotad fingersvamp (NT), anisspindling (S), aprikosfingersvamp (S), blodvaxing (S), bronshjon (S, T), granbarkgnagare (S, T), grönpyrola (S, T), honungsvaxing (S), hårjordtunga (S), olivspindling (S), ängsfingersvamp (S), blåsippa (T, §9),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3.50 ha med buffertzonerna och får av detta skäl inte avverkas.</w:t>
      </w:r>
    </w:p>
    <w:p>
      <w:pPr>
        <w:pStyle w:val="Caption"/>
      </w:pPr>
      <w:r>
        <w:drawing>
          <wp:inline xmlns:a="http://schemas.openxmlformats.org/drawingml/2006/main" xmlns:pic="http://schemas.openxmlformats.org/drawingml/2006/picture">
            <wp:extent cx="5486400" cy="3201343"/>
            <wp:docPr id="2" name="Picture 2"/>
            <wp:cNvGraphicFramePr>
              <a:graphicFrameLocks noChangeAspect="1"/>
            </wp:cNvGraphicFramePr>
            <a:graphic>
              <a:graphicData uri="http://schemas.openxmlformats.org/drawingml/2006/picture">
                <pic:pic>
                  <pic:nvPicPr>
                    <pic:cNvPr id="0" name="A 9472-2025 karta knärot.png"/>
                    <pic:cNvPicPr/>
                  </pic:nvPicPr>
                  <pic:blipFill>
                    <a:blip r:embed="rId17"/>
                    <a:stretch>
                      <a:fillRect/>
                    </a:stretch>
                  </pic:blipFill>
                  <pic:spPr>
                    <a:xfrm>
                      <a:off x="0" y="0"/>
                      <a:ext cx="5486400" cy="32013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6649858, E 712312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