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17406-2025 i Norrtälje kommun</w:t>
      </w:r>
    </w:p>
    <w:p>
      <w:r>
        <w:t>Detta dokument behandlar höga naturvärden i avverkningsanmälan A 17406-2025 i Norrtälje kommun. Denna avverkningsanmälan inkom 2025-04-10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skogsalm (CR), raggtaggsvamp (EN), duvspindling (VU), grangråticka (VU), granrotspindling (VU), gul lammticka (VU), gyllenfingersvamp (VU), knärot (VU, §8), koppartaggsvamp (VU), läderdoftande fingersvamp (VU), flattoppad klubbsvamp (NT), fyrflikig jordstjärna (NT), grantaggsvamp (NT), gul taggsvamp (NT), jättespindling (NT), orange taggsvamp (NT), persiljespindling (NT), spillkråka (NT, §4), svart taggsvamp agg. (NT), såpfingersvamp (NT), ullticka (NT), anisspindling (S), bronshjon (S), fjällig taggsvamp s.str. (S), guldkremla (S), kamjordstjärna (S), olivspindling (S), rödgul trumpetsvamp (S), skarp dropptaggsvamp (S), strimspindling (S), stubbspretmossa (S), vågbandad barkbock (S), zontaggsvamp (S), blåsippa (§9)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17406-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6660272, E 699772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Jättespindling (NT)</w:t>
      </w:r>
      <w:r>
        <w:t xml:space="preserve"> bildar mykorrhiza med ek, lind, avenbok, bok och hassel. Växer i ädellövskog, ädellövbryn, löväng och hagmark, bäckraviner på kalkrik och ofta betad mark. Minskningstakten har uppgått till 15 % under de senaste 50 åren och bedöms vara nära gränsvärdet för Sårbar (VU) (SLU Artdatabanken, 2026).</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7384"/>
            <wp:docPr id="2" name="Picture 2"/>
            <wp:cNvGraphicFramePr>
              <a:graphicFrameLocks noChangeAspect="1"/>
            </wp:cNvGraphicFramePr>
            <a:graphic>
              <a:graphicData uri="http://schemas.openxmlformats.org/drawingml/2006/picture">
                <pic:pic>
                  <pic:nvPicPr>
                    <pic:cNvPr id="0" name="A 17406-2025 karta knärot.png"/>
                    <pic:cNvPicPr/>
                  </pic:nvPicPr>
                  <pic:blipFill>
                    <a:blip r:embed="rId17"/>
                    <a:stretch>
                      <a:fillRect/>
                    </a:stretch>
                  </pic:blipFill>
                  <pic:spPr>
                    <a:xfrm>
                      <a:off x="0" y="0"/>
                      <a:ext cx="5486400" cy="6587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6660272, E 699772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