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dokument behandlar höga naturvärden i avverkningsanmälan A 16696-2026 i Norrtälje kommun. Denna avverkningsanmälan inkom 2026-03-31 20:52:26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ryl (EN), ädellav (EN), Blastenia relicta (VU), koppartaggsvamp (VU), läderdoftande fingersvamp (VU), apelsinticka (NT), gammelekslav (NT), granticka (NT), motaggsvamp (NT), orange taggsvamp (NT), spillkråka (NT, §4), tallticka (NT), talltita (NT, §4), ullticka (NT), vedskivlav (NT), vedtrappmossa (NT), vit vedfingersvamp (NT), aspvedgnagare (S), barkticka (S), blodticka (S), blåmossa (S), brandticka (S), bronshjon (S), diskvaxskivling (S), dropptaggsvamp (S), fjällig taggsvamp s.str. (S), fällmossa (S), granbarkgnagare (S), grönpyrola (S), gulnål (S), hasselticka (S), korallblylav (S), kornig nållav (S), kryddspindling (S), nästrot (S, §8), platt fjädermossa (S), rödgul trumpetsvamp (S), scharlakansvårskål agg. (S), skarp dropptaggsvamp (S), stekelbock (S), stor aspticka (S), svavelriska (S), vedticka (S), vätteros (S), vågbandad barkbock (S), järnsparv (§4), kungsfågel (§4),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6635900, E 707295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nästrot (S, §8), järnsparv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