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30799-2025 i Norrtälje kommun</w:t>
      </w:r>
    </w:p>
    <w:p>
      <w:r>
        <w:t>Detta dokument behandlar höga naturvärden i avverkningsanmälan A 30799-2025 i Norrtälje kommun. Denna avverkningsanmälan inkom 2025-06-23 15:37:09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31 naturvårdsarter hittats: fläckfingersvamp (VU), grangråticka (VU), gul lammticka (VU), kopparspindling (VU), läderdoftande fingersvamp (VU), dofttaggsvamp (NT), druvfingersvampar (NT), kungsspindling (NT), odörspindling (NT), orange taggsvamp (NT), persiljespindling (NT), puderspindling (NT), svartvit taggsvamp (NT), såpfingersvamp (NT), tallkötticka (NT), anisspindling (S), barrfagerspindling (S), brandmusseron (S), fjällig taggsvamp s.str. (S), jättesvampmal (S), olivspindling (S), skarp dropptaggsvamp (S), strimspindling (S), svart trolldruva (S), svavelriska (S), sårläka (S), tjockfotad fingersvamp (S), trådticka (S), vårärt (S), zontaggsvamp (S) och nattviol (§8).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30799-2025 karta.png"/>
                    <pic:cNvPicPr/>
                  </pic:nvPicPr>
                  <pic:blipFill>
                    <a:blip r:embed="rId16"/>
                    <a:stretch>
                      <a:fillRect/>
                    </a:stretch>
                  </pic:blipFill>
                  <pic:spPr>
                    <a:xfrm>
                      <a:off x="0" y="0"/>
                      <a:ext cx="5486400" cy="511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6671397, E 699122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Druvfingersvampar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 xml:space="preserve">Fläckfingersvamp (VU) </w:t>
      </w:r>
      <w:r>
        <w:t>är en sällsynt ”toppart” som bildar mykorrhiza med dels bok i äldre bokskog, dels med gran i barrskog på näringsrik-kalkrik mark, sällsynt även med ek i ädellövskog. Svampen har en egenartad, ljust svavelgröngul färg som är svår att återge. På foten och i gamla skador får svampen karaktäristiska vinröda fläckar och är därför lätt att känna igen. All form av skogsavverkning i eller i närheten av växtplatsen missgynnar arten och skogsområden där den förekommer bör skyddas och undantas från rationellt skogsbruk. Fläckfingersvamp är placerad högst upp i Skogsstyrelsens värdepyramid för bedömning av skog med höga naturvärden och dess växtplatser utgör ofta s.k. ”hotspots” för ett stort antal rödlistade svampar (SLU Artdatabanken, 2024; Nitare &amp; Skogsstyrelsen, 2019).</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Puderspindling (NT) </w:t>
      </w:r>
      <w:r>
        <w:t>bildar mykorrhiza med gran och växer i äldre ängsgranskog på kalkrik mark. Påträffas ofta i myrstackar. Storskaligt skogsbruk med kalavverkning och markberedning eller kraftig gallring är det främsta hotet mot arten. På sikt är det ett problem att skogar av denna typ, med stort inslag av äldre träd inte nybildas. Ett fullständigt skydd för artens lokaler bör övervägas. Där avverkning ändå tillåts måste den ske försiktigt så att kontinuiteten i trädskiktet inte bryts. Ett tillräckligt antal äldre träd måste finnas kvar i beståndet. Det är önskvärt med stor naturvårdshänsyn i alla områden med äldre granskog på näringsrik mark oavsett om dess flora är känd eller ej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typisk art för </w:t>
      </w:r>
      <w:r>
        <w:rPr>
          <w:i/>
        </w:rPr>
        <w:t xml:space="preserve">9050 Näringsrik granskog, 9020 Nordlig ädellövskog, 9130 Näringsrik bokskog </w:t>
      </w:r>
      <w:r>
        <w:t xml:space="preserve">och </w:t>
      </w:r>
      <w:r>
        <w:rPr>
          <w:i/>
        </w:rPr>
        <w:t>9160 Näringsrik ekskog</w:t>
      </w:r>
      <w:r>
        <w:t xml:space="preserve"> och värdväxt för den rödlistade fjärilen sårläkeplattmal (NT).</w:t>
      </w:r>
      <w:r>
        <w:rPr>
          <w:i/>
        </w:rPr>
        <w:t xml:space="preserve"> </w:t>
      </w:r>
      <w:r>
        <w:t>Sårläka har minskat kraftigt under de senaste åren och enligt artdatabankens preliminära bedömning kommer den att bli rödlistad som nära hotad (NT) i nästa rödlista som kommer 2026 (SLU Artdatabanken, 2024; Nitare &amp; Skogsstyrelsen, 2019).</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