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och fridlysta arter i samrådsanmälan S 3404-2025 i Norrtälje kommun</w:t>
      </w:r>
    </w:p>
    <w:p>
      <w:r>
        <w:t>Denna tillsynsbegäran behandlar höga naturvärden i samrådsanmälan S 3404-2025 i Norrtälje kommun som inkom 2025-12-03 och omfattar 98,8 ha.</w:t>
      </w:r>
    </w:p>
    <w:p>
      <w:pPr>
        <w:pStyle w:val="Caption"/>
      </w:pPr>
      <w:r>
        <w:drawing>
          <wp:inline xmlns:a="http://schemas.openxmlformats.org/drawingml/2006/main" xmlns:pic="http://schemas.openxmlformats.org/drawingml/2006/picture">
            <wp:extent cx="5486400" cy="5503368"/>
            <wp:docPr id="1" name="Picture 1"/>
            <wp:cNvGraphicFramePr>
              <a:graphicFrameLocks noChangeAspect="1"/>
            </wp:cNvGraphicFramePr>
            <a:graphic>
              <a:graphicData uri="http://schemas.openxmlformats.org/drawingml/2006/picture">
                <pic:pic>
                  <pic:nvPicPr>
                    <pic:cNvPr id="0" name="S 3404-2025 karta.png"/>
                    <pic:cNvPicPr/>
                  </pic:nvPicPr>
                  <pic:blipFill>
                    <a:blip r:embed="rId16"/>
                    <a:stretch>
                      <a:fillRect/>
                    </a:stretch>
                  </pic:blipFill>
                  <pic:spPr>
                    <a:xfrm>
                      <a:off x="0" y="0"/>
                      <a:ext cx="5486400" cy="5503368"/>
                    </a:xfrm>
                    <a:prstGeom prst="rect"/>
                  </pic:spPr>
                </pic:pic>
              </a:graphicData>
            </a:graphic>
          </wp:inline>
        </w:drawing>
      </w:r>
    </w:p>
    <w:p>
      <w:pPr>
        <w:pStyle w:val="Caption"/>
        <w:spacing w:after="240"/>
      </w:pPr>
      <w:r>
        <w:t>Figur 1. Fyndplatser för naturvårdsarter i och inom 21 meter från samrådsanmälan. Markörer utan svart kant är placerade på fyndplatsen. Markörer med svart kant är placerade vid sidan av fyndplatsen och har ett svart streck som visar fyndplatsens exakta position. Kartans mittpunktskoordinat är N 6653485, E 704042 i SWEREF 99 TM.</w:t>
      </w:r>
    </w:p>
    <w:p>
      <w:r>
        <w:t>I och inom 21 meter från samrådsanmälan finns fynd av 2 naturvårdsarter, varav 2 är fridlysta och 1 är typisk (T): tjäder (T, §4) och orre (§4).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samrådsanmälan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samrådsanmälda skogen. Se även ytterligare artfakta i BILAGA 1. De påträffade naturvårdsarterna är ett tydligt kvitto på att det rör sig om en skog med höga naturvärden.</w:t>
      </w:r>
    </w:p>
    <w:p>
      <w:r>
        <w:rPr>
          <w:b/>
        </w:rPr>
        <w:t>Tjäder (§4)</w:t>
      </w:r>
      <w:r>
        <w:t xml:space="preserve"> omfattas av bilaga 1 och 2 EU:s fågeldirektiv och är typisk art för </w:t>
      </w:r>
      <w:r>
        <w:rPr>
          <w:i/>
        </w:rPr>
        <w:t xml:space="preserve">9010 Taiga </w:t>
      </w:r>
      <w:r>
        <w:t xml:space="preserve">och </w:t>
      </w:r>
      <w:r>
        <w:rPr>
          <w:i/>
        </w:rPr>
        <w:t>9740 Skogsbevuxen myr</w:t>
      </w:r>
      <w:r>
        <w:t>. Tjädern är en utpräglad skogsfågel knuten till större sammanhängande barrskogsområden. Tupparna och hönorna utnyttjar till viss del olika miljöer, och habitatvalet varierar dessutom mellan olika delar av året. För att det ska finnas livskraftiga tjäderbestånd krävs funktionella skogslandskap med en blandning av uppvuxen, gles och luckig skog, täta sumpskogar, myrar och andra små våtmarker. Arten försvinner när skogen fragmenteras och den sammanlagda arealen hyggen och andra öppna områden blir för stor. Ett småskaligt och försiktigt virkesuttag genom hyggesfria metoder kan i vissa fall vara möjligt i området inom 200 m från lekcentrum. Längre ut från lekcentrum, inom 200–500 m bör den avverkade ytan inte överskrida 1 hektar för att undvika alltför stora och snabba förändringar (Skogsstyrelsen, 2019; SLU Artdatabanken, 2024).</w:t>
      </w:r>
    </w:p>
    <w:p>
      <w:pPr>
        <w:pStyle w:val="Heading1"/>
      </w:pPr>
      <w:r>
        <w:t>EU:s fågeldirektiv</w:t>
      </w:r>
    </w:p>
    <w:p>
      <w:r>
        <w:t xml:space="preserve">Europeiska unionens medlemsländer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p>
      <w:r>
        <w:br w:type="page"/>
      </w:r>
    </w:p>
    <w:p>
      <w:pPr>
        <w:pStyle w:val="Title"/>
      </w:pPr>
      <w:r>
        <w:t>BILAGA 1 – Fridlysta arter</w:t>
      </w:r>
    </w:p>
    <w:p>
      <w:pPr>
        <w:pStyle w:val="Heading1"/>
      </w:pPr>
      <w:r>
        <w:t>Tjäder – ekologi samt krav på livsmiljön</w:t>
      </w:r>
    </w:p>
    <w:p>
      <w:r>
        <w:t xml:space="preserve">Tjäder (§4) omfattas av bilaga 1 och 2 EU:s fågeldirektiv och är typisk art för </w:t>
      </w:r>
      <w:r>
        <w:rPr>
          <w:i/>
        </w:rPr>
        <w:t xml:space="preserve">9010 Taiga </w:t>
      </w:r>
      <w:r>
        <w:t xml:space="preserve">och </w:t>
      </w:r>
      <w:r>
        <w:rPr>
          <w:i/>
        </w:rPr>
        <w:t>9740 Skogsbevuxen myr</w:t>
      </w:r>
      <w:r>
        <w:t>. Tjädern är en utpräglad skogsfågel knuten till större sammanhängande barrskogsområden. Tupparna och hönorna utnyttjar till viss del olika miljöer, och habitatvalet varierar dessutom mellan olika delar av året. För att det ska finnas livskraftiga tjäderbestånd krävs funktionella skogslandskap med en blandning av uppvuxen, gles och luckig skog, täta sumpskogar, myrar och andra små våtmarker (Skogsstyrelsen, 2019; SLU Artdatabanken 2024).</w:t>
      </w:r>
    </w:p>
    <w:p>
      <w:r>
        <w:t>Arten försvinner när skogen fragmenteras och den sammanlagda arealen hyggen och andra öppna områden blir för stor. Ett småskaligt och försiktigt virkesuttag genom hyggesfria metoder kan i vissa fall vara möjligt i området inom 200 m från lekcentrum. Längre ut från lekcentrum, inom 200–500 m bör den avverkade ytan inte överskrida 1 hektar för att undvika alltför stora och snabba förändringar (Skogsstyrelsen, 2019).</w:t>
      </w:r>
    </w:p>
    <w:p>
      <w:pPr>
        <w:pStyle w:val="Heading2"/>
      </w:pPr>
      <w:r>
        <w:t>Referenser – tjäder</w:t>
      </w:r>
    </w:p>
    <w:p>
      <w:r>
        <w:t xml:space="preserve">Skogsstyrelsen, 2019. </w:t>
      </w:r>
      <w:r>
        <w:rPr>
          <w:i/>
        </w:rPr>
        <w:t>Vägledning för hänsyn till fåglar – tjäder.</w:t>
      </w:r>
    </w:p>
    <w:p>
      <w:r>
        <w:t xml:space="preserve">SLU Artdatabanken, 2024.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2026-10-23</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